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00" w:rsidRDefault="00EB4DC2">
      <w:pPr>
        <w:pStyle w:val="normal"/>
        <w:widowControl/>
        <w:ind w:right="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Освітня програма </w:t>
      </w:r>
    </w:p>
    <w:p w:rsidR="00682200" w:rsidRDefault="00EB4DC2">
      <w:pPr>
        <w:pStyle w:val="normal"/>
        <w:widowControl/>
        <w:ind w:right="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Савчинської ЗШ</w:t>
      </w:r>
    </w:p>
    <w:p w:rsidR="00682200" w:rsidRDefault="00EB4DC2">
      <w:pPr>
        <w:pStyle w:val="normal"/>
        <w:widowControl/>
        <w:ind w:right="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 ступеня</w:t>
      </w:r>
    </w:p>
    <w:p w:rsidR="00682200" w:rsidRDefault="00EB4DC2">
      <w:pPr>
        <w:pStyle w:val="normal"/>
        <w:widowControl/>
        <w:ind w:right="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(для 10-11 класів)</w:t>
      </w:r>
    </w:p>
    <w:p w:rsidR="00682200" w:rsidRDefault="00682200">
      <w:pPr>
        <w:pStyle w:val="normal"/>
        <w:widowControl/>
        <w:ind w:right="8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82200" w:rsidRDefault="00682200">
      <w:pPr>
        <w:pStyle w:val="normal"/>
        <w:widowControl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2200" w:rsidRDefault="00EB4DC2">
      <w:pPr>
        <w:pStyle w:val="normal"/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Освітня програма для 10-11 класів (базова середня освіта) (освітня програма) розроблена на виконання Закону України «Про освіту» та постанови Кабінету Міністрів України від 23 листопада 2011 року № 1392 «Про затвердження Державного стандарту базов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 та повної загальної середньої освіти» .</w:t>
      </w:r>
    </w:p>
    <w:p w:rsidR="00682200" w:rsidRDefault="00EB4DC2">
      <w:pPr>
        <w:pStyle w:val="normal"/>
        <w:widowControl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Освітня програма складена відповідно Типової освітньої програми  закладів загальної середньої освіти ІІІ ступеня, 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наказом Міністерства освіти і науки України від 20.04.2018 № 408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- Типова освітня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програма), яка  окреслює рекомендовані 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 стандартом базової та повної загальної середньої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 (далі – Державний стандарт).</w:t>
      </w:r>
    </w:p>
    <w:p w:rsidR="00682200" w:rsidRDefault="00EB4DC2">
      <w:pPr>
        <w:pStyle w:val="normal"/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Освітня програма визначає: </w:t>
      </w:r>
    </w:p>
    <w:p w:rsidR="00682200" w:rsidRDefault="00EB4DC2">
      <w:pPr>
        <w:pStyle w:val="normal"/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загальний обсяг навчального навантаження, орієнтовну тривалість і можливі взаємозв’язки окремих предметів, факультативів, курсів за вибором тощо, зокрема їх інтеграції, а також логічно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послідовності їх вивчення які натепер подані в рамках навчальних планів </w:t>
      </w:r>
    </w:p>
    <w:p w:rsidR="00682200" w:rsidRDefault="00EB4DC2">
      <w:pPr>
        <w:pStyle w:val="normal"/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очікувані результати навчання учнів подані в рамках навчальних програм, перелік яких наведено в таблиці 4; пропонований зміст окремих предметів, які мають гриф «Затверджено Міністер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ством освіти і науки України» і розміщені на офіційному веб-сайті МОН); </w:t>
      </w:r>
    </w:p>
    <w:p w:rsidR="00682200" w:rsidRDefault="00EB4DC2">
      <w:pPr>
        <w:pStyle w:val="normal"/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рекомендовані форми організації освітнього процесу та інструменти системи внутрішнього забезпечення якості освіти;</w:t>
      </w:r>
    </w:p>
    <w:p w:rsidR="00682200" w:rsidRDefault="00EB4DC2">
      <w:pPr>
        <w:pStyle w:val="normal"/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вимоги до осіб, які можуть розпочати навчання за цією Типовою освітн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ьою програмою. </w:t>
      </w:r>
    </w:p>
    <w:p w:rsidR="00682200" w:rsidRDefault="00EB4DC2">
      <w:pPr>
        <w:pStyle w:val="normal"/>
        <w:widowControl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Загальний обсяг навчального навантаження та орієнтовна тривалість і можливі взаємозв’язки освітніх галузей, предметів, дисциплін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Загальний обсяг навчального навантаження здобувачів профільної середньої освіти для 10-11-х класів складає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2660 годин/навчальний рік: для 10-х класів – 1330 годин/навчальний рік, для 11-х класів – 1330 годин/навчальний рік. Детальний розподіл навчального навантаження на тиждень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окреслено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навчальному плані Савчинської ЗШ (далі –навчальний план).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Навчальний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для 10-11 класів розроблено відповідно до Державного стандарту, з метою його впровадження у частині повної загальної середньої освіти з 1 вересня 2018 року для 10 класу, з 1 вересня 2019 року – для 11 класу. Він містить загальний обсяг навчального нав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антаження та тижневі години на вивчення базових предметів, вибірково-обов’язкових предметів, профільних предметів і спеціальних курсів, а також передбачає години на факультативи, індивідуальні заняття тощо.</w:t>
      </w:r>
    </w:p>
    <w:p w:rsidR="00682200" w:rsidRDefault="00682200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682200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682200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EB4DC2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Інваріативна складова навчального плану</w:t>
      </w:r>
    </w:p>
    <w:p w:rsidR="00682200" w:rsidRDefault="00EB4DC2">
      <w:pPr>
        <w:pStyle w:val="normal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Повноцінність базової середньої освіти забезпечується реалізацією як інваріантної, так і варіативної складових, які в обов’язковому порядку фінансуються з бюджету.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рішення педагогічної ради для складання власного навчального плану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вибрано другий варіант який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містить перелік базових предметів, який включає окремі предмети суспільно-гуманітарного та математично-природничого циклів.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рішення педагогічної ради замість предметів «Історія України», «Всесвітня історія»  вивча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тиметься  інтегрований курс «Історія: Україна і світ»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додаток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базових предметів належать: «Українська мова», «Українська література», «Зарубіжна література», «Іноземна мова», «Історія: Україна і світ» (у другому варіанті передбачено вивчення окремих предметів: «Історія України», «Всесвітня історія»), «Громадянська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освіта», «Математика», вивчення окремих природничих дисциплін: «Фізика і астрономія», «Біологія і екологія», «Хімія», «Географія», «Фізична культура», «Захист Вітчизни».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навчальному плані зазначено  мінімальну кількість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тижневих годин на вивчення базов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предметів, що має забезпечити досягнення рівня очікуваних результатів навчання учнів згідно з державними вимогами Державного стандарту.</w:t>
      </w:r>
    </w:p>
    <w:p w:rsidR="00682200" w:rsidRDefault="00682200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змісту освіти, визначеного Державним стандартом, також забезпечується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вибірково-обов’язковими предметами,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вивчаються на рівні стандарту (рішення педради).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Частину навчальних годин навчального плану  призначено для забезпечення профільного спрямування навчання в старшій школі. Профіль визначено закладом освіти з урахуванням можливостей забезпечити якісну його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реалізацію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Зміст профілю навчання реалізується системою окремих предметів і курсів та відповідною кількістю годин: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кількість годин для вивчення профільного предмета (українська мова) складається: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 кількості годин, відведених навчальним планом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 освіти на вивчення відповідних базових предметів – 2 год ;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3 кількості годин, передбачених на профільні предмети – 2 год; </w:t>
      </w:r>
    </w:p>
    <w:p w:rsidR="00682200" w:rsidRDefault="00682200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682200" w:rsidRDefault="00EB4DC2">
      <w:pPr>
        <w:pStyle w:val="normal"/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Змістове наповнення предмета «Фізична культура» Савчинська ЗШ І-ІІІ ст.. сфор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мувала самостійно з варіативних модулів відповідно до статево-вікових особливостей учнів, їх інтересів, матеріально-технічної бази навчального закладу, кадрового забезпечення, регіональних та народних традицій.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Варіативна складова навчального плану Савчин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ської ЗШ визначається закладами враховує особливості організації освітнього процесу та індивідуальних освітніх потреб учнів, рівень навчально-методичного та кадрового забезпечення закладу, пріоритетні напрямки позакласної роботи і відображається в навчальн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плані на навчальний рік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</w:p>
    <w:p w:rsidR="00682200" w:rsidRDefault="00EB4DC2">
      <w:pPr>
        <w:pStyle w:val="normal"/>
        <w:widowControl/>
        <w:ind w:right="85"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Варіативна складова</w:t>
      </w:r>
      <w:r>
        <w:rPr>
          <w:rFonts w:ascii="Times New Roman" w:eastAsia="Times New Roman" w:hAnsi="Times New Roman" w:cs="Times New Roman"/>
          <w:color w:val="FF213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 планів використовується на:</w:t>
      </w:r>
    </w:p>
    <w:p w:rsidR="00682200" w:rsidRDefault="00EB4DC2">
      <w:pPr>
        <w:pStyle w:val="normal"/>
        <w:widowControl/>
        <w:ind w:right="85"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підсилення предметів інваріантної складової. У такому разі розподіл годин на вивчення тієї чи іншої теми навчальної програми здійснюється вчителем самостійно. Розподіл годин фіксується у календарному плані, який погоджується директором закладу освіти чи 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заступником. Вчитель зазначає проведені уроки у частині класного журналу, відведеного для предмета, на підсилення якого використано зазначені години;</w:t>
      </w:r>
    </w:p>
    <w:p w:rsidR="00682200" w:rsidRDefault="00EB4DC2">
      <w:pPr>
        <w:pStyle w:val="normal"/>
        <w:widowControl/>
        <w:ind w:right="85"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запровадження факультативів, курсів за вибором, що розширюють обрану закладом освіти спеціалізацію, 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світоглядного спрямування (етика, історія релігій та культур, риторика, логіка, рідний край, хореографія, креслення, основи споживчих знань, світ професій тощо);</w:t>
      </w:r>
    </w:p>
    <w:p w:rsidR="00682200" w:rsidRDefault="00EB4DC2">
      <w:pPr>
        <w:pStyle w:val="normal"/>
        <w:widowControl/>
        <w:ind w:right="85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 заняття та консультації</w:t>
      </w:r>
    </w:p>
    <w:p w:rsidR="00682200" w:rsidRDefault="00EB4DC2">
      <w:pPr>
        <w:pStyle w:val="normal"/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Варіативність змісту базової середньої освіти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ізується також через запровадження в навчальних програмах резервного часу, що створює простір для задоволення освітніх потреб учнів,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Факультативні курси реалізуються за рахунок додаткових годин, передбачених планом. </w:t>
      </w:r>
    </w:p>
    <w:p w:rsidR="00682200" w:rsidRDefault="00EB4DC2">
      <w:pPr>
        <w:pStyle w:val="normal"/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недопущення перевантаження учнів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обхідно враховувати їх навчання в закладах освіти іншого типу (художніх, музичних, спортивних школах тощо). </w:t>
      </w:r>
    </w:p>
    <w:p w:rsidR="00682200" w:rsidRDefault="00EB4DC2">
      <w:pPr>
        <w:pStyle w:val="normal"/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682200" w:rsidRDefault="00EB4DC2">
      <w:pPr>
        <w:pStyle w:val="normal"/>
        <w:widowControl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Очікувані результати навчання здобувачів освіти.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Результати навчання повинні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робити внесок у формування ключових компетентностей учнів.</w:t>
      </w:r>
    </w:p>
    <w:p w:rsidR="00682200" w:rsidRDefault="00682200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</w:p>
    <w:tbl>
      <w:tblPr>
        <w:tblStyle w:val="a5"/>
        <w:tblW w:w="10065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75"/>
        <w:gridCol w:w="2835"/>
        <w:gridCol w:w="6555"/>
      </w:tblGrid>
      <w:tr w:rsidR="00682200">
        <w:trPr>
          <w:cantSplit/>
          <w:tblHeader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№ з/п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Ключові компетентності</w:t>
            </w:r>
          </w:p>
        </w:tc>
        <w:tc>
          <w:tcPr>
            <w:tcW w:w="6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Компоненти</w:t>
            </w:r>
          </w:p>
        </w:tc>
      </w:tr>
      <w:tr w:rsidR="00682200">
        <w:trPr>
          <w:cantSplit/>
          <w:tblHeader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Спілкування державною (і рідною — у разі відмінності) мовами</w:t>
            </w: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Уміння: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уникнення невнормованих іншомовних запозичень у спілкуванні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окремого предмета; поповнювати свій словниковий запас.</w:t>
            </w:r>
          </w:p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розуміння важливості чітких та лаконічних формулювань.</w:t>
            </w:r>
          </w:p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682200">
        <w:trPr>
          <w:cantSplit/>
          <w:tblHeader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Спілкування іноземними мовами</w:t>
            </w: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Умін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ня: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обирати й застосовувати доцільні комунікативні стратегії відповідно до різних 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критично оцінювати інформацію та використовувати її для різних потреб; висловлювати свої думки, почуття та ставлення; ефективно взаємодіяти з іншими усно, письмово та за допомогою засобів електронного спілкування; ефективно користуватися навчальними страт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егіями для самостійного вивчення іноземних мов;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підручники, словники, 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ідкова література, мультимедійні засоби, адаптовані іншомовні тексти.</w:t>
            </w:r>
          </w:p>
        </w:tc>
      </w:tr>
      <w:tr w:rsidR="00682200">
        <w:trPr>
          <w:cantSplit/>
          <w:tblHeader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Математична компетентність</w:t>
            </w: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Уміння: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стовувати математичні методи у життєвих ситуаціях.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682200">
        <w:trPr>
          <w:cantSplit/>
          <w:tblHeader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Основні компетентності у природничих науках і технологіях</w:t>
            </w: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Уміння: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розпізнавати проблеми, що виникають у довкіллі; будувати та досліджувати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иродні явища і процеси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послуговуватися технологічними пристроями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усвідомлення ролі наукових ідей в сучасних інформаційних технологіях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Навчальні ресурс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682200">
        <w:trPr>
          <w:cantSplit/>
          <w:tblHeader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Інформаційно-цифрова компетентність</w:t>
            </w: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Уміння: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структурувати дані; діяти за алгоритмом та складати алгоритми; визначати достатність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критичне осмислення інформації та джерел її отримання; усвідомлення важливості інформаційних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технологій для ефективного розв’язування математичних задач.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682200">
        <w:trPr>
          <w:cantSplit/>
          <w:tblHeader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Уміння вчитися впродовж життя</w:t>
            </w: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Уміння: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сті вчитися впродовж життя; прагнення до вдосконалення результатів своєї діяльності.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моделювання власної освітньої траєкторії</w:t>
            </w:r>
          </w:p>
        </w:tc>
      </w:tr>
      <w:tr w:rsidR="00682200">
        <w:trPr>
          <w:cantSplit/>
          <w:tblHeader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Ініціативність і підприємливість</w:t>
            </w: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Уміння: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генерувати нові ідеї, вирішувати життєві проблеми, аналізувати,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мальних способів розв’язання життєвого завдання.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завдан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ня підприємницького змісту (оптимізаційні задачі)</w:t>
            </w:r>
          </w:p>
        </w:tc>
      </w:tr>
      <w:tr w:rsidR="00682200">
        <w:trPr>
          <w:cantSplit/>
          <w:tblHeader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Соціальна і громадянська компетентності</w:t>
            </w: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Уміння: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ріїв, робити споживчий вибір, спираючись на різні дані.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передчасного переходу до висновків; повага до прав людини, активна позиція щодо боротьби із дискримінацією.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завдання соціального змісту</w:t>
            </w:r>
          </w:p>
        </w:tc>
      </w:tr>
      <w:tr w:rsidR="00682200">
        <w:trPr>
          <w:cantSplit/>
          <w:tblHeader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Обізнаність і самовираження у сфері культури</w:t>
            </w: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Уміння: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 (малюнків, текстів, схем тощо).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культурна самоідентифікація,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математичні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моделі в різних видах мистецтва</w:t>
            </w:r>
          </w:p>
        </w:tc>
      </w:tr>
      <w:tr w:rsidR="00682200">
        <w:trPr>
          <w:cantSplit/>
          <w:tblHeader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Екологічна грамотність і здорове життя</w:t>
            </w:r>
          </w:p>
        </w:tc>
        <w:tc>
          <w:tcPr>
            <w:tcW w:w="65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Уміння: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іпулювання.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усвідомлення взаємозв’язку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бору здорового способу життя; власна думка та позиція до зловживань алкоголю, нікотину тощо. </w:t>
            </w:r>
          </w:p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682200" w:rsidRDefault="00682200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окремих предметів. Виокремлення в навчальних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програмах таких наскрізних ліній ключових компетентностей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формування в учнів здатності застосовувати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знання й уміння у реальних життєвих ситуаціях.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Наскрізні лінії є засобом інтеграції ключових і загальнопредметних компетентностей, окремих предметів та предметних циклів; їх необхідно враховувати при формуванні шкільного середовища.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Наскрізні лінії є соціа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льно значимими надпредметними темами, які допомагають формуванню в учнів уявлень про суспільство в цілому, розвивають здатність застосовувати отримані знання у різних ситуаціях.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Навчання за наскрізними лініями реалізується насамперед через: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організацію нав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чального середовища — зміст та цілі наскрізних тем враховуються при формуванні духовного, соціального і фізичного середовища навчання;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окремі предмети — виходячи із наскрізних тем при вивченні предмета проводяться відповідні трактовки, приклади і методи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вчання, реалізуються надпредметні, міжкласові та загальношкільні проекти.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 конкретною наскрізною темою;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предмети за вибором;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роботу в проектах;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позакласну навчальну роботу і роботу гуртків.</w:t>
      </w:r>
    </w:p>
    <w:p w:rsidR="00682200" w:rsidRDefault="00682200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tbl>
      <w:tblPr>
        <w:tblStyle w:val="a6"/>
        <w:tblW w:w="10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68"/>
        <w:gridCol w:w="8620"/>
      </w:tblGrid>
      <w:tr w:rsidR="00682200">
        <w:trPr>
          <w:cantSplit/>
          <w:trHeight w:val="20"/>
          <w:tblHeader/>
        </w:trPr>
        <w:tc>
          <w:tcPr>
            <w:tcW w:w="1668" w:type="dxa"/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Наскрізна лінія</w:t>
            </w:r>
          </w:p>
        </w:tc>
        <w:tc>
          <w:tcPr>
            <w:tcW w:w="8620" w:type="dxa"/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Коротка характеристика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1668" w:type="dxa"/>
          </w:tcPr>
          <w:p w:rsidR="00682200" w:rsidRDefault="00EB4DC2">
            <w:pPr>
              <w:pStyle w:val="normal"/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Екологічна безпека й сталий розвиток</w:t>
            </w:r>
          </w:p>
        </w:tc>
        <w:tc>
          <w:tcPr>
            <w:tcW w:w="8620" w:type="dxa"/>
          </w:tcPr>
          <w:p w:rsidR="00682200" w:rsidRDefault="00EB4DC2">
            <w:pPr>
              <w:pStyle w:val="normal"/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Формування в учнів 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</w:p>
          <w:p w:rsidR="00682200" w:rsidRDefault="00EB4DC2">
            <w:pPr>
              <w:pStyle w:val="normal"/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Проблематика наскрізної лінії реалізується через завдання з реальними даними про використання природних ресурсів, їх збереження та примноження. Аналіз цих даних сприяє розвитку бережливого ставлення до навколишнього середовища, екології, формуванню критичн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ого мислення, вміння вирішувати проблеми, критично оцінювати перспективи розвитку навколишнього середовища і людини. Можливі уроки на відкритому повітрі. 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1668" w:type="dxa"/>
          </w:tcPr>
          <w:p w:rsidR="00682200" w:rsidRDefault="00EB4DC2">
            <w:pPr>
              <w:pStyle w:val="normal"/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Громадянська відповідальність</w:t>
            </w:r>
          </w:p>
        </w:tc>
        <w:tc>
          <w:tcPr>
            <w:tcW w:w="8620" w:type="dxa"/>
          </w:tcPr>
          <w:p w:rsidR="00682200" w:rsidRDefault="00EB4DC2">
            <w:pPr>
              <w:pStyle w:val="normal"/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Сприятиме формуванню відповідального члена громади і суспільства, що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озуміє принципи і механізми функціонування суспільства. Ця наскрізна лінія освоюється в основному через колективну діяльність (дослідницькі роботи, роботи в групі, проекти тощо), яка поєднує окремі предмети між собою і розвиває в учнів готовність до співпр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аці, толерантність щодо різноманітних способів діяльності і думок. </w:t>
            </w:r>
          </w:p>
          <w:p w:rsidR="00682200" w:rsidRDefault="00EB4DC2">
            <w:pPr>
              <w:pStyle w:val="normal"/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Вивчення окремого предмета має викликати в учнів якомога більше позитивних емоцій, а її зміст — бути націленим на виховання порядності, старанності, систематичності, послідовності, посидюч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ості і чесності. Приклад вчителя покликаний зіграти важливу роль у формуванні толерантного ставлення до товаришів, незалежно від рівня навчальних досягнень.</w:t>
            </w:r>
          </w:p>
        </w:tc>
      </w:tr>
      <w:tr w:rsidR="00682200">
        <w:trPr>
          <w:cantSplit/>
          <w:trHeight w:val="3250"/>
          <w:tblHeader/>
        </w:trPr>
        <w:tc>
          <w:tcPr>
            <w:tcW w:w="1668" w:type="dxa"/>
          </w:tcPr>
          <w:p w:rsidR="00682200" w:rsidRDefault="00EB4DC2">
            <w:pPr>
              <w:pStyle w:val="normal"/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Здоров'я і безпека</w:t>
            </w:r>
          </w:p>
        </w:tc>
        <w:tc>
          <w:tcPr>
            <w:tcW w:w="8620" w:type="dxa"/>
          </w:tcPr>
          <w:p w:rsidR="00682200" w:rsidRDefault="00EB4DC2">
            <w:pPr>
              <w:pStyle w:val="normal"/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Завданням наскрізної лінії є становлення учня як емоційно стійкого члена суспіл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ьства, здатного вести здоровий спосіб життя і формувати навколо себе безпечне життєве середовище. </w:t>
            </w:r>
          </w:p>
          <w:p w:rsidR="00682200" w:rsidRDefault="00EB4DC2">
            <w:pPr>
              <w:pStyle w:val="normal"/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Реалізується через завдання з реальними даними про безпеку і охорону здоров’я (текстові завдання, пов’язані з середовищем дорожнього руху, рухом пішоходів 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транспортних засобів). Варто звернути увагу на проблеми, пов’язані із ризиками для життя і здоров’я. Вирішення проблем, знайдених з «ага-ефектом», пошук оптимальних методів вирішення і розв’язування задач тощо, здатні викликати в учнів чимало радісних емоц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ій.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1668" w:type="dxa"/>
          </w:tcPr>
          <w:p w:rsidR="00682200" w:rsidRDefault="00EB4DC2">
            <w:pPr>
              <w:pStyle w:val="normal"/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Підприємливість і фінансова грамотність</w:t>
            </w:r>
          </w:p>
        </w:tc>
        <w:tc>
          <w:tcPr>
            <w:tcW w:w="8620" w:type="dxa"/>
          </w:tcPr>
          <w:p w:rsidR="00682200" w:rsidRDefault="00EB4DC2">
            <w:pPr>
              <w:pStyle w:val="normal"/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Наскрізна лінія націлена на розвиток лідерських ініціатив, здатність успішно діяти в технологічному швидкозмінному середовищі, забезпечення кращого розуміння учнями практичних аспектів фінансових питань (здійснення заощаджень, інвестування, запозичення, 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рахування, кредитування тощо).</w:t>
            </w:r>
          </w:p>
          <w:p w:rsidR="00682200" w:rsidRDefault="00EB4DC2">
            <w:pPr>
              <w:pStyle w:val="normal"/>
              <w:widowControl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Ця наскрізна лінія пов'язана з розв'язуванням практичних завдань щодо планування господарської діяльності та реальної оцінки власних можливостей, складання сімейного бюджету, формування економного ставлення до природних ресур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сів. </w:t>
            </w:r>
          </w:p>
        </w:tc>
      </w:tr>
    </w:tbl>
    <w:p w:rsidR="00682200" w:rsidRDefault="00682200">
      <w:pPr>
        <w:pStyle w:val="normal"/>
        <w:widowControl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white"/>
        </w:rPr>
      </w:pP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Необхідною умовою формування компетентностей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 можливо, не лише показувати виникнення факту із практичної ситуації, а й по можливості створювати умови для самостійного виведення нового знання, перевірці його на практиці і встановлення причинно-наслідкових зв’язків шляхом створення проблемних ситуацій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організації спостережень, дослідів та інших видів діяльності. Формуванню ключових компетентностей сприяє встановлення та реалізація в освітньому процесі міжпредметних і внутрішньопредметних зв’язків, а саме: змістово-інформаційних, операційно-діяльнісних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ування знань на практиці та перенесення їх в нові ситуації. </w:t>
      </w:r>
    </w:p>
    <w:p w:rsidR="00682200" w:rsidRDefault="00EB4DC2">
      <w:pPr>
        <w:pStyle w:val="normal"/>
        <w:widowControl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Вимоги до осіб, які можуть розпочинати здобуття профільної середньої освіти.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Профільна середня освіта здобувається, як правило, після здобуття базової середньої освіти. Діти, які здобули базов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 з особливими освітніми потребами можуть розпочинати здобуття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рофільної середньої освіти за інших умов.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Перелік освітніх галузей.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Типову освітню програму укладено за такими освітніми галузями:</w:t>
      </w:r>
    </w:p>
    <w:p w:rsidR="00682200" w:rsidRDefault="00EB4DC2">
      <w:pPr>
        <w:pStyle w:val="normal"/>
        <w:widowControl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Мови і літератури </w:t>
      </w:r>
    </w:p>
    <w:p w:rsidR="00682200" w:rsidRDefault="00EB4DC2">
      <w:pPr>
        <w:pStyle w:val="normal"/>
        <w:widowControl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Суспільствознавство</w:t>
      </w:r>
    </w:p>
    <w:p w:rsidR="00682200" w:rsidRDefault="00EB4DC2">
      <w:pPr>
        <w:pStyle w:val="normal"/>
        <w:widowControl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Мистецтво</w:t>
      </w:r>
    </w:p>
    <w:p w:rsidR="00682200" w:rsidRDefault="00EB4DC2">
      <w:pPr>
        <w:pStyle w:val="normal"/>
        <w:widowControl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</w:t>
      </w:r>
    </w:p>
    <w:p w:rsidR="00682200" w:rsidRDefault="00EB4DC2">
      <w:pPr>
        <w:pStyle w:val="normal"/>
        <w:widowControl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Природознавство</w:t>
      </w:r>
    </w:p>
    <w:p w:rsidR="00682200" w:rsidRDefault="00EB4DC2">
      <w:pPr>
        <w:pStyle w:val="normal"/>
        <w:widowControl/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</w:p>
    <w:p w:rsidR="00682200" w:rsidRDefault="00EB4DC2">
      <w:pPr>
        <w:pStyle w:val="normal"/>
        <w:widowControl/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Здоров’я і фізична культура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Логічна послідовність вивчення предметів інваріативної та варіативної складової навчального плану  розкривається у відповідних навчальних програмах (додаток 4)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Рекомендовані форми організації освітнього процесу.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Основними формами організації освітнього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цесу є різні типи уроку: </w:t>
      </w:r>
    </w:p>
    <w:p w:rsidR="00682200" w:rsidRDefault="00EB4DC2">
      <w:pPr>
        <w:pStyle w:val="normal"/>
        <w:widowControl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компетентностей;</w:t>
      </w:r>
    </w:p>
    <w:p w:rsidR="00682200" w:rsidRDefault="00EB4DC2">
      <w:pPr>
        <w:pStyle w:val="normal"/>
        <w:widowControl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розвитку компетентностей; </w:t>
      </w:r>
    </w:p>
    <w:p w:rsidR="00682200" w:rsidRDefault="00EB4DC2">
      <w:pPr>
        <w:pStyle w:val="normal"/>
        <w:widowControl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перевірки та/або оцінювання досягнення компетентностей; </w:t>
      </w:r>
    </w:p>
    <w:p w:rsidR="00682200" w:rsidRDefault="00EB4DC2">
      <w:pPr>
        <w:pStyle w:val="normal"/>
        <w:widowControl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корекції основних компетентностей; </w:t>
      </w:r>
    </w:p>
    <w:p w:rsidR="00682200" w:rsidRDefault="00EB4DC2">
      <w:pPr>
        <w:pStyle w:val="normal"/>
        <w:widowControl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комбінований урок.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 формами організації освітнього процесу можуть бути екскурсії, віртуальні подорожі, уроки-семінари, конференції, форуми, спектаклі, брифінги, квести, інтерактивні уроки (уроки-«суди», урок-дискусійна група, уроки з навчанням одних учнів іншими), інтег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ровані уроки, проблемний урок, відео-уроки, прес-конференції, ділові ігри тощо.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Засвоєння нового матеріалу можна проводити на лекції, конференції, екскурсії і т. д. Для конференції, дискусії вчителем або учнями визначаються теми доповідей учнів, основні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апрями самостійної роботи. На навчальній екскурсії учні отримують знання, знайомлячись із експонатами в музеї, з роботою механізмів на підприємстві, спостерігаючи за різноманітними процесами, що відбуваються у природі. Консультації проводяться з учнями,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не були присутні на попередніх уроках або не зрозуміли, не засвоїли зміст окремих предметів. Розвиток і корекцію основних компетентностей можна, крім уроку відповідного типу, проводити на семінарі, заключній конференції, екскурсії тощо. Семінар як форма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 об'єднує бесіду та дискусію учнів. Заключна конференція може будуватися як у формі дискусії, так і у формі диспуту, на якому обговорюються полярні точки зору. Учитель або учні підбивають підсумки обговорення і формулюють висновки.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метою засво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єння нового матеріалу та розвитку компетентностей крім уроку проводяться навчально-практичні заняття. Ця форма організації поєднує виконання різних практичних вправ, експериментальних робіт відповідно до змісту окремих предметів, менш регламентована й має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акцент на більшій самостійності учнів в експериментальній та практичній діяльності. Досягнуті компетентності учні можуть застосувати на практичних заняттях і заняттях практикуму. Практичне заняття - це така форма організації, в якій учням надається можливі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застосовувати отримані ними знання у практичній діяльності. Експериментальні завдання, передбачені змістом окремих предметів, виконуються на заняттях із практикуму (виконання експериментально-практичних робіт). Оглядова конференція (для 8-11 класів)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винна передбачати обговорення ключових положень вивченого матеріалу, учнем розкриваються нові узагальнюючі підходи до його аналізу.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Оглядова конференція може бути комплексною, тобто реалізувати міжпредметні зв'язки в узагальненні й систематизації навчальн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матеріалу.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Оглядова екскурсія припускає цілеспрямоване ознайомлення учнів з об'єктами та спостереження процесів з метою відновити та систематизувати раніше отримані знання.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Учням, які готуються здавати заліки або іспити можливе проведення оглядових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нсультацій, які виконують коригувальну функцію, допомагаючи учням зорієнтуватися у змісті окремих предметів.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Консультація будується за принципом питань і відповідей.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Перевірка та/або оцінювання досягнення компетентностей крім уроку може здійснюватися у 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рмі заліку, співбесіди, контрольного навчально-практичного заняття.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Залік як форма організації проводиться для перевірки якості засвоєння учнями змісту предметів, досягнення компетентностей. Ця форма організації як правило застосовується у класах з вечірн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ьою формою здобуття освіти або для інших здобувачів профільної середньої освіти.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Співбесіда, як і залік, тільки у формі індивідуальної бесіди, проводиться з метою з'ясувати рівень досягнення компетентностей.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Функцію перевірки та/або оцінювання досягнення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компетентностей виконує навчально-практичне заняття. Учні одержують конкретні завдання, з виконання яких звітують перед вчителем.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Практичні заняття та заняття практикуму також можуть будуватися з метою реалізації контрольних функцій освітнього процесу.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цих заняттях учні самостійно виготовляють вироби, проводять виміри та звітують за виконану роботу.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 проводити заняття в малих групах, бригадах і ланках (у тому числі робота учнів у парах змінного складу) за умови, що окремі учні виконують роботу 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игадирів, консультантів, тобто тих, хто навчає малу групу.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Екскурсії в першу чергу покликані показати учням практичне застосування знань, отриманих при вивченні змісту окремих предметів (можливо поєднувати зі збором учнями по ходу екскурсії матеріалу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виконання визначених завдань). 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 можуть самостійно знімати та монтувати відеофільми (під час відео-уроку) за умови самостійного розроблення сюжету фільму, підбору матеріалу, виконують самостійно розподілені ролі та аналізують виконану роботу.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Вибір форм і методів навчання вчитель визначає самостійно,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682200" w:rsidRDefault="00EB4DC2">
      <w:pPr>
        <w:pStyle w:val="normal"/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 та інструменти системи внутрішнього забезпечення якості освіти.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внутрішнього забезпеченн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якості складається з наступних компонентів:</w:t>
      </w:r>
    </w:p>
    <w:p w:rsidR="00682200" w:rsidRDefault="00EB4DC2">
      <w:pPr>
        <w:pStyle w:val="normal"/>
        <w:widowControl/>
        <w:shd w:val="clear" w:color="auto" w:fill="FFFFFF"/>
        <w:tabs>
          <w:tab w:val="left" w:pos="284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кадрове забезпечення освітньої діяльності;</w:t>
      </w:r>
    </w:p>
    <w:p w:rsidR="00682200" w:rsidRDefault="00EB4DC2">
      <w:pPr>
        <w:pStyle w:val="normal"/>
        <w:widowControl/>
        <w:shd w:val="clear" w:color="auto" w:fill="FFFFFF"/>
        <w:tabs>
          <w:tab w:val="left" w:pos="284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навчально-методичне забезпечення освітньої діяльності;</w:t>
      </w:r>
    </w:p>
    <w:p w:rsidR="00682200" w:rsidRDefault="00EB4DC2">
      <w:pPr>
        <w:pStyle w:val="normal"/>
        <w:widowControl/>
        <w:shd w:val="clear" w:color="auto" w:fill="FFFFFF"/>
        <w:tabs>
          <w:tab w:val="left" w:pos="284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матеріально-технічне забезпечення освітньої діяльності;</w:t>
      </w:r>
    </w:p>
    <w:p w:rsidR="00682200" w:rsidRDefault="00EB4DC2">
      <w:pPr>
        <w:pStyle w:val="normal"/>
        <w:widowControl/>
        <w:shd w:val="clear" w:color="auto" w:fill="FFFFFF"/>
        <w:tabs>
          <w:tab w:val="left" w:pos="284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якість проведення навчальних занять;</w:t>
      </w:r>
    </w:p>
    <w:p w:rsidR="00682200" w:rsidRDefault="00EB4DC2">
      <w:pPr>
        <w:pStyle w:val="normal"/>
        <w:widowControl/>
        <w:shd w:val="clear" w:color="auto" w:fill="FFFFFF"/>
        <w:tabs>
          <w:tab w:val="left" w:pos="284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 досягнення учнями результатів навчання (компетентностей).</w:t>
      </w:r>
    </w:p>
    <w:p w:rsidR="00682200" w:rsidRDefault="00EB4DC2">
      <w:pPr>
        <w:pStyle w:val="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 системи внутрішнього забезпечення якості освіти:</w:t>
      </w:r>
    </w:p>
    <w:p w:rsidR="00682200" w:rsidRDefault="00EB4DC2">
      <w:pPr>
        <w:pStyle w:val="normal"/>
        <w:widowControl/>
        <w:shd w:val="clear" w:color="auto" w:fill="FFFFFF"/>
        <w:tabs>
          <w:tab w:val="left" w:pos="284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оновлення методичної бази освітньої діяльності;</w:t>
      </w:r>
    </w:p>
    <w:p w:rsidR="00682200" w:rsidRDefault="00EB4DC2">
      <w:pPr>
        <w:pStyle w:val="normal"/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навчальних планів та освітньої програми, якістю знань, умі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і навичок учнів, розробка рекомендацій щодо їх покращення;</w:t>
      </w:r>
    </w:p>
    <w:p w:rsidR="00682200" w:rsidRDefault="00EB4DC2">
      <w:pPr>
        <w:pStyle w:val="normal"/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 та оптимізація соціально-психологічного середовища закладу освіти;</w:t>
      </w:r>
    </w:p>
    <w:p w:rsidR="00682200" w:rsidRDefault="00EB4DC2">
      <w:pPr>
        <w:pStyle w:val="normal"/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необхідних умов для підвищення фахового кваліфікаційного рівня педагогічних працівників.</w:t>
      </w:r>
    </w:p>
    <w:p w:rsidR="00682200" w:rsidRDefault="00EB4DC2">
      <w:pPr>
        <w:pStyle w:val="normal"/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 передбачає досягнення учнями результатів навчання (компетентностей), визначених Державним стандартом.</w:t>
      </w:r>
    </w:p>
    <w:p w:rsidR="00682200" w:rsidRDefault="00EB4DC2">
      <w:pPr>
        <w:pStyle w:val="normal"/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Тему уроку, КОР здобувачів освіти визначає учитель у календарно-тематичному плануванні. </w:t>
      </w:r>
      <w:r>
        <w:br w:type="page"/>
      </w:r>
    </w:p>
    <w:p w:rsidR="00682200" w:rsidRDefault="00682200">
      <w:pPr>
        <w:pStyle w:val="normal"/>
        <w:widowControl/>
        <w:ind w:left="-426"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EB4DC2">
      <w:pPr>
        <w:pStyle w:val="normal"/>
        <w:widowControl/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1</w:t>
      </w:r>
    </w:p>
    <w:p w:rsidR="00682200" w:rsidRDefault="00682200">
      <w:pPr>
        <w:pStyle w:val="normal"/>
        <w:widowControl/>
        <w:ind w:firstLine="720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2200" w:rsidRDefault="00EB4DC2">
      <w:pPr>
        <w:pStyle w:val="normal"/>
        <w:widowControl/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 2</w:t>
      </w:r>
    </w:p>
    <w:p w:rsidR="00682200" w:rsidRDefault="00EB4DC2">
      <w:pPr>
        <w:pStyle w:val="normal"/>
        <w:widowControl/>
        <w:shd w:val="clear" w:color="auto" w:fill="FFFFFF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Типової освітньої програми </w:t>
      </w:r>
    </w:p>
    <w:p w:rsidR="00682200" w:rsidRDefault="00682200">
      <w:pPr>
        <w:pStyle w:val="normal"/>
        <w:widowControl/>
        <w:ind w:firstLine="720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2200" w:rsidRDefault="00EB4DC2">
      <w:pPr>
        <w:pStyle w:val="normal"/>
        <w:widowControl/>
        <w:ind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Навчальний план </w:t>
      </w:r>
    </w:p>
    <w:p w:rsidR="00682200" w:rsidRDefault="00EB4DC2">
      <w:pPr>
        <w:pStyle w:val="normal"/>
        <w:widowControl/>
        <w:ind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10-11 класів закладів загальної середньої освіти</w:t>
      </w:r>
    </w:p>
    <w:p w:rsidR="00682200" w:rsidRDefault="00682200">
      <w:pPr>
        <w:pStyle w:val="normal"/>
        <w:widowControl/>
        <w:ind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7"/>
        <w:tblW w:w="10773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087"/>
        <w:gridCol w:w="1843"/>
        <w:gridCol w:w="1843"/>
      </w:tblGrid>
      <w:tr w:rsidR="00682200">
        <w:trPr>
          <w:cantSplit/>
          <w:tblHeader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682200">
            <w:pPr>
              <w:pStyle w:val="normal"/>
              <w:widowControl/>
              <w:ind w:firstLine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82200" w:rsidRDefault="00EB4DC2">
            <w:pPr>
              <w:pStyle w:val="normal"/>
              <w:widowControl/>
              <w:ind w:firstLine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Предмети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firstLine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Кількість годин на тиждень у класах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68220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Базові предмети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27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26 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Українська  література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Зарубіжна література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Іноземна мова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Історія України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1,5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Всесвітня історія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Громадянська освіта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keepNext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 (алгебра і початки аналізу та геометрія)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Біологія і екологія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Фізика і астрономія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Хімія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1,5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Фізична культура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Захист Вітчизни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Вибірково-обов’язкові предмети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(Інформатика, Технології, Мистецтво)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682200">
        <w:trPr>
          <w:cantSplit/>
          <w:trHeight w:val="495"/>
          <w:tblHeader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Додаткові години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682200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682200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Гранично допустиме тижневе навантаження на учня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</w:tr>
      <w:tr w:rsidR="00682200">
        <w:trPr>
          <w:cantSplit/>
          <w:tblHeader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Всього фінансується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(без урахування поділу класу на групи)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</w:tbl>
    <w:p w:rsidR="00682200" w:rsidRDefault="00EB4DC2">
      <w:pPr>
        <w:pStyle w:val="normal"/>
        <w:widowControl/>
        <w:ind w:left="-709" w:right="-28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</w:rPr>
        <w:t>У дужках подано кількість годин для закладів освіти з навчанням мовою корінного народу, національної меншини.</w:t>
      </w:r>
    </w:p>
    <w:p w:rsidR="00682200" w:rsidRDefault="00EB4DC2">
      <w:pPr>
        <w:pStyle w:val="normal"/>
        <w:widowControl/>
        <w:ind w:left="-709" w:right="-28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За наявності належних умов заклад освіти може збільшувати кількість годин на вивчення іноземної мови, використовуючи додаткові години.</w:t>
      </w:r>
    </w:p>
    <w:p w:rsidR="00682200" w:rsidRDefault="00EB4DC2">
      <w:pPr>
        <w:pStyle w:val="normal"/>
        <w:widowControl/>
        <w:ind w:left="-709" w:right="-28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Мова і література корінного народу, національної меншини входить до базових предметів лише для закладів освіти з навча</w:t>
      </w:r>
      <w:r>
        <w:rPr>
          <w:rFonts w:ascii="Times New Roman" w:eastAsia="Times New Roman" w:hAnsi="Times New Roman" w:cs="Times New Roman"/>
          <w:color w:val="000000"/>
        </w:rPr>
        <w:t xml:space="preserve">нням мовою, корінного народу, національної меншини. В інших закладах освіти цей предмет може обиратися за потреби самим учнем за рахунок додаткових годин. </w:t>
      </w:r>
    </w:p>
    <w:p w:rsidR="00682200" w:rsidRDefault="00EB4DC2">
      <w:pPr>
        <w:pStyle w:val="normal"/>
        <w:widowControl/>
        <w:ind w:left="-709" w:right="-28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Години фізичної культури не входять до гранично допустимого тижневого навантаження на учня.</w:t>
      </w:r>
    </w:p>
    <w:p w:rsidR="00682200" w:rsidRDefault="00682200">
      <w:pPr>
        <w:pStyle w:val="normal"/>
        <w:widowControl/>
        <w:ind w:firstLine="7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EB4DC2">
      <w:pPr>
        <w:pStyle w:val="normal"/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департаменту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200025</wp:posOffset>
            </wp:positionV>
            <wp:extent cx="1257300" cy="5905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82200" w:rsidRDefault="00EB4DC2">
      <w:pPr>
        <w:pStyle w:val="normal"/>
        <w:widowControl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 середньої та дошкільної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Ю. Г. Кононенко</w:t>
      </w:r>
    </w:p>
    <w:p w:rsidR="00682200" w:rsidRDefault="00EB4DC2">
      <w:pPr>
        <w:pStyle w:val="normal"/>
        <w:widowControl/>
        <w:shd w:val="clear" w:color="auto" w:fill="FFFFFF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682200" w:rsidRDefault="00682200">
      <w:pPr>
        <w:pStyle w:val="normal"/>
        <w:widowControl/>
        <w:ind w:firstLine="7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EB4DC2">
      <w:pPr>
        <w:pStyle w:val="normal"/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Орієнтовна кількість навчальних годин для профільних предметів</w:t>
      </w:r>
    </w:p>
    <w:p w:rsidR="00682200" w:rsidRDefault="00682200">
      <w:pPr>
        <w:pStyle w:val="normal"/>
        <w:widowControl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6"/>
        <w:gridCol w:w="2126"/>
        <w:gridCol w:w="2659"/>
      </w:tblGrid>
      <w:tr w:rsidR="00682200">
        <w:trPr>
          <w:cantSplit/>
          <w:tblHeader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Профільний предмет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Кількість годин на тиждень 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68220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клас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клас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Українська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Українська література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Зарубіжна література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Іноземна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Друга іноземна мова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Мова і література корінного народу, національної меншини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Історія України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Всесвітня історія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Правознавство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Економіка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Геометрія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Фізика і астрономія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Біологія і екологія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Хімія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Мистецтво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Фізична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82200">
        <w:trPr>
          <w:cantSplit/>
          <w:tblHeader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Захист Вітчизни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682200" w:rsidRDefault="00682200">
      <w:pPr>
        <w:pStyle w:val="normal"/>
        <w:widowControl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682200">
      <w:pPr>
        <w:pStyle w:val="normal"/>
        <w:widowControl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682200">
      <w:pPr>
        <w:pStyle w:val="normal"/>
        <w:widowControl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EB4DC2">
      <w:pPr>
        <w:pStyle w:val="normal"/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департаменту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3465830</wp:posOffset>
            </wp:positionH>
            <wp:positionV relativeFrom="paragraph">
              <wp:posOffset>85090</wp:posOffset>
            </wp:positionV>
            <wp:extent cx="1257300" cy="59055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82200" w:rsidRDefault="00EB4DC2">
      <w:pPr>
        <w:pStyle w:val="normal"/>
        <w:widowControl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 середньої та дошкільної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D4689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Кононенко</w:t>
      </w:r>
    </w:p>
    <w:p w:rsidR="00682200" w:rsidRDefault="00EB4DC2">
      <w:pPr>
        <w:pStyle w:val="normal"/>
        <w:widowControl/>
        <w:shd w:val="clear" w:color="auto" w:fill="FFFFFF"/>
        <w:ind w:left="552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Таблиця     Додаток 2</w:t>
      </w:r>
    </w:p>
    <w:p w:rsidR="00682200" w:rsidRDefault="00EB4DC2">
      <w:pPr>
        <w:pStyle w:val="normal"/>
        <w:widowControl/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Змістове наповнення предмета «Фізична культура»</w:t>
      </w:r>
    </w:p>
    <w:p w:rsidR="00682200" w:rsidRDefault="00682200">
      <w:pPr>
        <w:pStyle w:val="normal"/>
        <w:widowControl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9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1"/>
        <w:gridCol w:w="1147"/>
        <w:gridCol w:w="1220"/>
        <w:gridCol w:w="2097"/>
        <w:gridCol w:w="1688"/>
        <w:gridCol w:w="2282"/>
      </w:tblGrid>
      <w:tr w:rsidR="00682200">
        <w:trPr>
          <w:cantSplit/>
          <w:trHeight w:val="396"/>
          <w:tblHeader/>
        </w:trPr>
        <w:tc>
          <w:tcPr>
            <w:tcW w:w="1561" w:type="dxa"/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Терміни вивчення</w:t>
            </w:r>
          </w:p>
        </w:tc>
        <w:tc>
          <w:tcPr>
            <w:tcW w:w="1147" w:type="dxa"/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1220" w:type="dxa"/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К-сть ВМ</w:t>
            </w:r>
          </w:p>
        </w:tc>
        <w:tc>
          <w:tcPr>
            <w:tcW w:w="2097" w:type="dxa"/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ВМ</w:t>
            </w:r>
          </w:p>
        </w:tc>
        <w:tc>
          <w:tcPr>
            <w:tcW w:w="1688" w:type="dxa"/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Рік навчання</w:t>
            </w:r>
          </w:p>
        </w:tc>
        <w:tc>
          <w:tcPr>
            <w:tcW w:w="2282" w:type="dxa"/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К-сть годин</w:t>
            </w:r>
          </w:p>
        </w:tc>
      </w:tr>
      <w:tr w:rsidR="00682200">
        <w:trPr>
          <w:cantSplit/>
          <w:trHeight w:val="396"/>
          <w:tblHeader/>
        </w:trPr>
        <w:tc>
          <w:tcPr>
            <w:tcW w:w="1561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2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2200">
        <w:trPr>
          <w:cantSplit/>
          <w:trHeight w:val="396"/>
          <w:tblHeader/>
        </w:trPr>
        <w:tc>
          <w:tcPr>
            <w:tcW w:w="1561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2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2200">
        <w:trPr>
          <w:cantSplit/>
          <w:trHeight w:val="396"/>
          <w:tblHeader/>
        </w:trPr>
        <w:tc>
          <w:tcPr>
            <w:tcW w:w="1561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2" w:type="dxa"/>
          </w:tcPr>
          <w:p w:rsidR="00682200" w:rsidRDefault="00682200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82200" w:rsidRDefault="00682200">
      <w:pPr>
        <w:pStyle w:val="normal"/>
        <w:widowControl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682200">
      <w:pPr>
        <w:pStyle w:val="normal"/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2200" w:rsidRDefault="00EB4DC2">
      <w:pPr>
        <w:pStyle w:val="normal"/>
        <w:widowControl/>
        <w:shd w:val="clear" w:color="auto" w:fill="FFFFFF"/>
        <w:ind w:left="5103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Додаток 3</w:t>
      </w:r>
    </w:p>
    <w:p w:rsidR="00682200" w:rsidRDefault="00682200">
      <w:pPr>
        <w:pStyle w:val="normal"/>
        <w:widowControl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EB4DC2">
      <w:pPr>
        <w:pStyle w:val="normal"/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Перелік навчальних програм </w:t>
      </w:r>
    </w:p>
    <w:p w:rsidR="00682200" w:rsidRDefault="00EB4DC2">
      <w:pPr>
        <w:pStyle w:val="normal"/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учнів закладів загальної середньої освіти ІІІ ступеня </w:t>
      </w:r>
    </w:p>
    <w:p w:rsidR="00682200" w:rsidRDefault="00EB4DC2">
      <w:pPr>
        <w:pStyle w:val="normal"/>
        <w:widowControl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(затверджені наказами МОН від 23.10.2017 № 1407 та від 24.11.2017 № 1539)</w:t>
      </w:r>
    </w:p>
    <w:p w:rsidR="00682200" w:rsidRDefault="00682200">
      <w:pPr>
        <w:pStyle w:val="normal"/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a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5705"/>
        <w:gridCol w:w="3827"/>
      </w:tblGrid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 навчальної програми</w:t>
            </w:r>
          </w:p>
        </w:tc>
        <w:tc>
          <w:tcPr>
            <w:tcW w:w="3827" w:type="dxa"/>
            <w:vAlign w:val="center"/>
          </w:tcPr>
          <w:p w:rsidR="00682200" w:rsidRDefault="00EB4DC2">
            <w:pPr>
              <w:pStyle w:val="normal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Рівень вивчення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Українська мова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Профільний рівень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  <w:vAlign w:val="center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Біологія і екологія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  <w:vAlign w:val="center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Географія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</w:tcPr>
          <w:p w:rsidR="00682200" w:rsidRDefault="00EB4DC2">
            <w:pPr>
              <w:pStyle w:val="normal"/>
              <w:widowControl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Громадянська освіта (інтегрований курс)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Зарубіжна література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  <w:vAlign w:val="center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Захист Вітчизни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Інформатика 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  <w:vAlign w:val="center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Історія України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  <w:vAlign w:val="center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Історія: Україна і світ  (інтегрований курс)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  <w:vAlign w:val="center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 (алгебра і початки аналізу та геометрія)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Мистецтво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Українська література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  <w:vAlign w:val="center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Фізика і астрономія (авторський колектив під керівництвом Локтєва В. М.)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  <w:vAlign w:val="center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Фізика і астрономія (авторський колектив під керівництвом Ляшенка О. І.)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  <w:vAlign w:val="center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Фізична культура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  <w:vAlign w:val="center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Хімія</w:t>
            </w:r>
          </w:p>
        </w:tc>
        <w:tc>
          <w:tcPr>
            <w:tcW w:w="3827" w:type="dxa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  <w:tr w:rsidR="00682200">
        <w:trPr>
          <w:cantSplit/>
          <w:trHeight w:val="20"/>
          <w:tblHeader/>
        </w:trPr>
        <w:tc>
          <w:tcPr>
            <w:tcW w:w="675" w:type="dxa"/>
          </w:tcPr>
          <w:p w:rsidR="00682200" w:rsidRDefault="00682200"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5" w:type="dxa"/>
            <w:vAlign w:val="center"/>
          </w:tcPr>
          <w:p w:rsidR="00682200" w:rsidRDefault="00EB4DC2">
            <w:pPr>
              <w:pStyle w:val="normal"/>
              <w:widowControl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Іноземні мови</w:t>
            </w:r>
          </w:p>
        </w:tc>
        <w:tc>
          <w:tcPr>
            <w:tcW w:w="3827" w:type="dxa"/>
            <w:vAlign w:val="center"/>
          </w:tcPr>
          <w:p w:rsidR="00682200" w:rsidRDefault="00EB4DC2">
            <w:pPr>
              <w:pStyle w:val="norma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Рівень стандарту</w:t>
            </w:r>
          </w:p>
        </w:tc>
      </w:tr>
    </w:tbl>
    <w:p w:rsidR="00682200" w:rsidRDefault="00682200">
      <w:pPr>
        <w:pStyle w:val="normal"/>
        <w:widowControl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200" w:rsidRDefault="00EB4DC2">
      <w:pPr>
        <w:pStyle w:val="normal"/>
        <w:widowControl/>
        <w:jc w:val="right"/>
      </w:pPr>
      <w:r>
        <w:rPr>
          <w:rFonts w:ascii="Times New Roman" w:eastAsia="Times New Roman" w:hAnsi="Times New Roman" w:cs="Times New Roman"/>
          <w:b/>
          <w:color w:val="535353"/>
          <w:sz w:val="28"/>
          <w:szCs w:val="28"/>
        </w:rPr>
        <w:tab/>
      </w:r>
    </w:p>
    <w:sectPr w:rsidR="00682200" w:rsidSect="00682200">
      <w:headerReference w:type="default" r:id="rId8"/>
      <w:pgSz w:w="11906" w:h="16838"/>
      <w:pgMar w:top="567" w:right="709" w:bottom="567" w:left="1418" w:header="283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DC2" w:rsidRDefault="00EB4DC2" w:rsidP="00682200">
      <w:r>
        <w:separator/>
      </w:r>
    </w:p>
  </w:endnote>
  <w:endnote w:type="continuationSeparator" w:id="1">
    <w:p w:rsidR="00EB4DC2" w:rsidRDefault="00EB4DC2" w:rsidP="00682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DC2" w:rsidRDefault="00EB4DC2" w:rsidP="00682200">
      <w:r>
        <w:separator/>
      </w:r>
    </w:p>
  </w:footnote>
  <w:footnote w:type="continuationSeparator" w:id="1">
    <w:p w:rsidR="00EB4DC2" w:rsidRDefault="00EB4DC2" w:rsidP="00682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200" w:rsidRDefault="00682200">
    <w:pPr>
      <w:pStyle w:val="normal"/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:rsidR="00682200" w:rsidRDefault="00682200">
    <w:pPr>
      <w:pStyle w:val="normal"/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76261"/>
    <w:multiLevelType w:val="multilevel"/>
    <w:tmpl w:val="F9B05B6C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51" w:hanging="360"/>
      </w:pPr>
    </w:lvl>
    <w:lvl w:ilvl="2">
      <w:start w:val="1"/>
      <w:numFmt w:val="lowerRoman"/>
      <w:lvlText w:val="%3."/>
      <w:lvlJc w:val="right"/>
      <w:pPr>
        <w:ind w:left="1971" w:hanging="180"/>
      </w:pPr>
    </w:lvl>
    <w:lvl w:ilvl="3">
      <w:start w:val="1"/>
      <w:numFmt w:val="decimal"/>
      <w:lvlText w:val="%4."/>
      <w:lvlJc w:val="left"/>
      <w:pPr>
        <w:ind w:left="2691" w:hanging="360"/>
      </w:pPr>
    </w:lvl>
    <w:lvl w:ilvl="4">
      <w:start w:val="1"/>
      <w:numFmt w:val="lowerLetter"/>
      <w:lvlText w:val="%5."/>
      <w:lvlJc w:val="left"/>
      <w:pPr>
        <w:ind w:left="3411" w:hanging="360"/>
      </w:pPr>
    </w:lvl>
    <w:lvl w:ilvl="5">
      <w:start w:val="1"/>
      <w:numFmt w:val="lowerRoman"/>
      <w:lvlText w:val="%6."/>
      <w:lvlJc w:val="right"/>
      <w:pPr>
        <w:ind w:left="4131" w:hanging="180"/>
      </w:pPr>
    </w:lvl>
    <w:lvl w:ilvl="6">
      <w:start w:val="1"/>
      <w:numFmt w:val="decimal"/>
      <w:lvlText w:val="%7."/>
      <w:lvlJc w:val="left"/>
      <w:pPr>
        <w:ind w:left="4851" w:hanging="360"/>
      </w:pPr>
    </w:lvl>
    <w:lvl w:ilvl="7">
      <w:start w:val="1"/>
      <w:numFmt w:val="lowerLetter"/>
      <w:lvlText w:val="%8."/>
      <w:lvlJc w:val="left"/>
      <w:pPr>
        <w:ind w:left="5571" w:hanging="360"/>
      </w:pPr>
    </w:lvl>
    <w:lvl w:ilvl="8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200"/>
    <w:rsid w:val="00682200"/>
    <w:rsid w:val="00DD4689"/>
    <w:rsid w:val="00EB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 Neue" w:eastAsia="Helvetica Neue" w:hAnsi="Helvetica Neue" w:cs="Helvetica Neue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82200"/>
    <w:pPr>
      <w:keepNext/>
      <w:widowControl/>
      <w:outlineLvl w:val="0"/>
    </w:pPr>
    <w:rPr>
      <w:rFonts w:ascii="Times" w:eastAsia="Times" w:hAnsi="Times" w:cs="Times"/>
      <w:color w:val="000000"/>
    </w:rPr>
  </w:style>
  <w:style w:type="paragraph" w:styleId="2">
    <w:name w:val="heading 2"/>
    <w:basedOn w:val="normal"/>
    <w:next w:val="normal"/>
    <w:rsid w:val="00682200"/>
    <w:pPr>
      <w:keepNext/>
      <w:widowControl/>
      <w:ind w:firstLine="7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basedOn w:val="normal"/>
    <w:next w:val="normal"/>
    <w:rsid w:val="00682200"/>
    <w:pPr>
      <w:keepNext/>
      <w:widowControl/>
      <w:ind w:left="33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4">
    <w:name w:val="heading 4"/>
    <w:basedOn w:val="normal"/>
    <w:next w:val="normal"/>
    <w:rsid w:val="00682200"/>
    <w:pPr>
      <w:keepNext/>
      <w:widowControl/>
      <w:ind w:left="8640"/>
      <w:outlineLvl w:val="3"/>
    </w:pPr>
    <w:rPr>
      <w:rFonts w:ascii="Times" w:eastAsia="Times" w:hAnsi="Times" w:cs="Times"/>
      <w:b/>
      <w:color w:val="000000"/>
    </w:rPr>
  </w:style>
  <w:style w:type="paragraph" w:styleId="5">
    <w:name w:val="heading 5"/>
    <w:basedOn w:val="normal"/>
    <w:next w:val="normal"/>
    <w:rsid w:val="00682200"/>
    <w:pPr>
      <w:widowControl/>
      <w:spacing w:before="240" w:after="60"/>
      <w:outlineLvl w:val="4"/>
    </w:pPr>
    <w:rPr>
      <w:rFonts w:ascii="Times" w:eastAsia="Times" w:hAnsi="Times" w:cs="Times"/>
      <w:b/>
      <w:i/>
      <w:color w:val="000000"/>
      <w:sz w:val="26"/>
      <w:szCs w:val="26"/>
    </w:rPr>
  </w:style>
  <w:style w:type="paragraph" w:styleId="6">
    <w:name w:val="heading 6"/>
    <w:basedOn w:val="normal"/>
    <w:next w:val="normal"/>
    <w:rsid w:val="00682200"/>
    <w:pPr>
      <w:keepNext/>
      <w:widowControl/>
      <w:ind w:firstLine="7"/>
      <w:jc w:val="right"/>
      <w:outlineLvl w:val="5"/>
    </w:pPr>
    <w:rPr>
      <w:rFonts w:ascii="Times" w:eastAsia="Times" w:hAnsi="Times" w:cs="Times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82200"/>
  </w:style>
  <w:style w:type="table" w:customStyle="1" w:styleId="TableNormal">
    <w:name w:val="Table Normal"/>
    <w:rsid w:val="006822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8220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822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8220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8220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68220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68220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68220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68220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DD4689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DD4689"/>
  </w:style>
  <w:style w:type="paragraph" w:styleId="ad">
    <w:name w:val="footer"/>
    <w:basedOn w:val="a"/>
    <w:link w:val="ae"/>
    <w:uiPriority w:val="99"/>
    <w:semiHidden/>
    <w:unhideWhenUsed/>
    <w:rsid w:val="00DD4689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DD46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19172</Words>
  <Characters>10929</Characters>
  <Application>Microsoft Office Word</Application>
  <DocSecurity>0</DocSecurity>
  <Lines>91</Lines>
  <Paragraphs>60</Paragraphs>
  <ScaleCrop>false</ScaleCrop>
  <Company/>
  <LinksUpToDate>false</LinksUpToDate>
  <CharactersWithSpaces>30041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Світлана</cp:lastModifiedBy>
  <cp:revision>2</cp:revision>
  <dcterms:created xsi:type="dcterms:W3CDTF">2022-08-30T08:13:00Z</dcterms:created>
  <dcterms:modified xsi:type="dcterms:W3CDTF">2022-08-30T08:15:00Z</dcterms:modified>
</cp:coreProperties>
</file>