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CE6" w:rsidRPr="00910CE6" w:rsidRDefault="00910CE6" w:rsidP="00910CE6">
      <w:pPr>
        <w:shd w:val="clear" w:color="auto" w:fill="FFFFFF"/>
        <w:spacing w:before="120" w:after="0" w:line="240" w:lineRule="auto"/>
        <w:jc w:val="center"/>
        <w:rPr>
          <w:rFonts w:ascii="Times New Roman" w:eastAsia="Times New Roman" w:hAnsi="Times New Roman" w:cs="Times New Roman"/>
          <w:color w:val="7030A0"/>
          <w:sz w:val="36"/>
          <w:szCs w:val="36"/>
          <w:lang w:eastAsia="uk-UA"/>
        </w:rPr>
      </w:pPr>
      <w:r w:rsidRPr="00910CE6">
        <w:rPr>
          <w:rFonts w:ascii="Bookman Old Style" w:eastAsia="Times New Roman" w:hAnsi="Bookman Old Style" w:cs="Times New Roman"/>
          <w:b/>
          <w:bCs/>
          <w:color w:val="7030A0"/>
          <w:sz w:val="36"/>
          <w:szCs w:val="36"/>
          <w:lang w:eastAsia="uk-UA"/>
        </w:rPr>
        <w:t>Критерії, правила і процедури оцінювання педагогічної діяльності педагогічних працівників</w:t>
      </w:r>
    </w:p>
    <w:p w:rsidR="00910CE6" w:rsidRPr="00910CE6" w:rsidRDefault="00910CE6" w:rsidP="00910CE6">
      <w:pPr>
        <w:shd w:val="clear" w:color="auto" w:fill="FFFFFF"/>
        <w:spacing w:after="0" w:line="240" w:lineRule="auto"/>
        <w:jc w:val="both"/>
        <w:rPr>
          <w:rFonts w:ascii="Times New Roman" w:eastAsia="Times New Roman" w:hAnsi="Times New Roman" w:cs="Times New Roman"/>
          <w:sz w:val="24"/>
          <w:szCs w:val="24"/>
          <w:lang w:eastAsia="uk-UA"/>
        </w:rPr>
      </w:pPr>
      <w:r w:rsidRPr="00910CE6">
        <w:rPr>
          <w:rFonts w:ascii="Times New Roman" w:eastAsia="Times New Roman" w:hAnsi="Times New Roman" w:cs="Times New Roman"/>
          <w:color w:val="000000"/>
          <w:sz w:val="26"/>
          <w:szCs w:val="26"/>
          <w:lang w:eastAsia="uk-UA"/>
        </w:rPr>
        <w:t>Процедура оцінювання педагогічної діяльності педагогічного працівника включає в себе </w:t>
      </w:r>
      <w:r w:rsidRPr="00910CE6">
        <w:rPr>
          <w:rFonts w:ascii="Times New Roman" w:eastAsia="Times New Roman" w:hAnsi="Times New Roman" w:cs="Times New Roman"/>
          <w:b/>
          <w:bCs/>
          <w:color w:val="000000"/>
          <w:sz w:val="26"/>
          <w:szCs w:val="26"/>
          <w:lang w:eastAsia="uk-UA"/>
        </w:rPr>
        <w:t>атестацію та сертифікацію</w:t>
      </w:r>
      <w:r w:rsidRPr="00910CE6">
        <w:rPr>
          <w:rFonts w:ascii="Times New Roman" w:eastAsia="Times New Roman" w:hAnsi="Times New Roman" w:cs="Times New Roman"/>
          <w:color w:val="000000"/>
          <w:sz w:val="26"/>
          <w:szCs w:val="26"/>
          <w:lang w:eastAsia="uk-UA"/>
        </w:rPr>
        <w:t>.</w:t>
      </w:r>
    </w:p>
    <w:p w:rsidR="00910CE6" w:rsidRPr="00910CE6" w:rsidRDefault="00910CE6" w:rsidP="00910CE6">
      <w:pPr>
        <w:shd w:val="clear" w:color="auto" w:fill="FFFFFF"/>
        <w:spacing w:after="0" w:line="240" w:lineRule="auto"/>
        <w:jc w:val="both"/>
        <w:rPr>
          <w:rFonts w:ascii="Times New Roman" w:eastAsia="Times New Roman" w:hAnsi="Times New Roman" w:cs="Times New Roman"/>
          <w:sz w:val="24"/>
          <w:szCs w:val="24"/>
          <w:lang w:eastAsia="uk-UA"/>
        </w:rPr>
      </w:pPr>
      <w:r w:rsidRPr="00910CE6">
        <w:rPr>
          <w:rFonts w:ascii="Times New Roman" w:eastAsia="Times New Roman" w:hAnsi="Times New Roman" w:cs="Times New Roman"/>
          <w:b/>
          <w:bCs/>
          <w:color w:val="000000"/>
          <w:sz w:val="26"/>
          <w:szCs w:val="26"/>
          <w:lang w:eastAsia="uk-UA"/>
        </w:rPr>
        <w:t>Атестація педагогічних працівників</w:t>
      </w:r>
      <w:r w:rsidRPr="00910CE6">
        <w:rPr>
          <w:rFonts w:ascii="Times New Roman" w:eastAsia="Times New Roman" w:hAnsi="Times New Roman" w:cs="Times New Roman"/>
          <w:color w:val="000000"/>
          <w:sz w:val="26"/>
          <w:szCs w:val="26"/>
          <w:lang w:eastAsia="uk-UA"/>
        </w:rPr>
        <w:t> – це система заходів, спрямованих на всебічне та комплексне оцінювання педагогічної діяльності педагогічних працівників.</w:t>
      </w:r>
    </w:p>
    <w:p w:rsidR="00910CE6" w:rsidRPr="00910CE6" w:rsidRDefault="00910CE6" w:rsidP="00910CE6">
      <w:pPr>
        <w:shd w:val="clear" w:color="auto" w:fill="FFFFFF"/>
        <w:spacing w:after="0" w:line="240" w:lineRule="auto"/>
        <w:jc w:val="both"/>
        <w:rPr>
          <w:rFonts w:ascii="Times New Roman" w:eastAsia="Times New Roman" w:hAnsi="Times New Roman" w:cs="Times New Roman"/>
          <w:sz w:val="24"/>
          <w:szCs w:val="24"/>
          <w:lang w:eastAsia="uk-UA"/>
        </w:rPr>
      </w:pPr>
      <w:r w:rsidRPr="00910CE6">
        <w:rPr>
          <w:rFonts w:ascii="Times New Roman" w:eastAsia="Times New Roman" w:hAnsi="Times New Roman" w:cs="Times New Roman"/>
          <w:color w:val="000000"/>
          <w:sz w:val="26"/>
          <w:szCs w:val="26"/>
          <w:lang w:eastAsia="uk-UA"/>
        </w:rPr>
        <w:t>Атестація педагогічних працівників може бути черговою або позачерговою. Педагогічний працівник проходить чергову атестацію не менше одного разу на п’ять років, крім випадків, передбачених законодавством.</w:t>
      </w:r>
    </w:p>
    <w:p w:rsidR="00910CE6" w:rsidRPr="00910CE6" w:rsidRDefault="00910CE6" w:rsidP="00910CE6">
      <w:pPr>
        <w:shd w:val="clear" w:color="auto" w:fill="FFFFFF"/>
        <w:spacing w:after="0" w:line="240" w:lineRule="auto"/>
        <w:jc w:val="both"/>
        <w:rPr>
          <w:rFonts w:ascii="Times New Roman" w:eastAsia="Times New Roman" w:hAnsi="Times New Roman" w:cs="Times New Roman"/>
          <w:sz w:val="24"/>
          <w:szCs w:val="24"/>
          <w:lang w:eastAsia="uk-UA"/>
        </w:rPr>
      </w:pPr>
      <w:r w:rsidRPr="00910CE6">
        <w:rPr>
          <w:rFonts w:ascii="Times New Roman" w:eastAsia="Times New Roman" w:hAnsi="Times New Roman" w:cs="Times New Roman"/>
          <w:color w:val="000000"/>
          <w:sz w:val="26"/>
          <w:szCs w:val="26"/>
          <w:lang w:eastAsia="uk-UA"/>
        </w:rPr>
        <w:t>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910CE6" w:rsidRPr="00910CE6" w:rsidRDefault="00910CE6" w:rsidP="00910CE6">
      <w:pPr>
        <w:shd w:val="clear" w:color="auto" w:fill="FFFFFF"/>
        <w:spacing w:after="0" w:line="240" w:lineRule="auto"/>
        <w:jc w:val="both"/>
        <w:rPr>
          <w:rFonts w:ascii="Times New Roman" w:eastAsia="Times New Roman" w:hAnsi="Times New Roman" w:cs="Times New Roman"/>
          <w:sz w:val="24"/>
          <w:szCs w:val="24"/>
          <w:lang w:eastAsia="uk-UA"/>
        </w:rPr>
      </w:pPr>
      <w:r w:rsidRPr="00910CE6">
        <w:rPr>
          <w:rFonts w:ascii="Times New Roman" w:eastAsia="Times New Roman" w:hAnsi="Times New Roman" w:cs="Times New Roman"/>
          <w:color w:val="000000"/>
          <w:sz w:val="26"/>
          <w:szCs w:val="26"/>
          <w:lang w:eastAsia="uk-UA"/>
        </w:rPr>
        <w:t>Рішення атестаційної комісії може бути підставою для звільнення педагогічного працівника з роботи у порядку, встановленому законодавством.</w:t>
      </w:r>
    </w:p>
    <w:p w:rsidR="00910CE6" w:rsidRPr="00910CE6" w:rsidRDefault="00910CE6" w:rsidP="00910CE6">
      <w:pPr>
        <w:shd w:val="clear" w:color="auto" w:fill="FFFFFF"/>
        <w:spacing w:after="0" w:line="240" w:lineRule="auto"/>
        <w:jc w:val="both"/>
        <w:rPr>
          <w:rFonts w:ascii="Times New Roman" w:eastAsia="Times New Roman" w:hAnsi="Times New Roman" w:cs="Times New Roman"/>
          <w:sz w:val="24"/>
          <w:szCs w:val="24"/>
          <w:lang w:eastAsia="uk-UA"/>
        </w:rPr>
      </w:pPr>
      <w:r w:rsidRPr="00910CE6">
        <w:rPr>
          <w:rFonts w:ascii="Times New Roman" w:eastAsia="Times New Roman" w:hAnsi="Times New Roman" w:cs="Times New Roman"/>
          <w:color w:val="000000"/>
          <w:sz w:val="26"/>
          <w:szCs w:val="26"/>
          <w:lang w:eastAsia="uk-UA"/>
        </w:rPr>
        <w:t>Положення про атестацію педагогічних працівників затверджує центральний орган виконавчої влади у сфері освіти і науки.</w:t>
      </w:r>
    </w:p>
    <w:p w:rsidR="00910CE6" w:rsidRPr="00910CE6" w:rsidRDefault="00910CE6" w:rsidP="00910CE6">
      <w:pPr>
        <w:shd w:val="clear" w:color="auto" w:fill="FFFFFF"/>
        <w:spacing w:after="0" w:line="240" w:lineRule="auto"/>
        <w:jc w:val="both"/>
        <w:rPr>
          <w:rFonts w:ascii="Times New Roman" w:eastAsia="Times New Roman" w:hAnsi="Times New Roman" w:cs="Times New Roman"/>
          <w:sz w:val="24"/>
          <w:szCs w:val="24"/>
          <w:lang w:eastAsia="uk-UA"/>
        </w:rPr>
      </w:pPr>
      <w:r w:rsidRPr="00910CE6">
        <w:rPr>
          <w:rFonts w:ascii="Times New Roman" w:eastAsia="Times New Roman" w:hAnsi="Times New Roman" w:cs="Times New Roman"/>
          <w:color w:val="000000"/>
          <w:sz w:val="26"/>
          <w:szCs w:val="26"/>
          <w:lang w:eastAsia="uk-UA"/>
        </w:rPr>
        <w:t>Щорічне підвищення кваліфікації педагогічних працівників закладів загальної середньої освіти здійснюється відповідно до Закону України “Про освіту”. Загальна кількість академічних годин для підвищення кваліфікації педагогічного працівника впродовж п’яти років не може бути меншою за 150 годин для педагогів школи та 120 годин для педагогів дошкільного відділення, з яких певна кількість годин має бути обов’язково спрямована на вдосконалення знань, вмінь і практичних навичок у частині роботи з дітьми з особливими освітніми потребами.</w:t>
      </w:r>
    </w:p>
    <w:p w:rsidR="00910CE6" w:rsidRPr="00910CE6" w:rsidRDefault="00910CE6" w:rsidP="00910CE6">
      <w:pPr>
        <w:shd w:val="clear" w:color="auto" w:fill="FFFFFF"/>
        <w:spacing w:after="0" w:line="240" w:lineRule="auto"/>
        <w:jc w:val="both"/>
        <w:rPr>
          <w:rFonts w:ascii="Times New Roman" w:eastAsia="Times New Roman" w:hAnsi="Times New Roman" w:cs="Times New Roman"/>
          <w:sz w:val="24"/>
          <w:szCs w:val="24"/>
          <w:lang w:eastAsia="uk-UA"/>
        </w:rPr>
      </w:pPr>
      <w:r w:rsidRPr="00910CE6">
        <w:rPr>
          <w:rFonts w:ascii="Times New Roman" w:eastAsia="Times New Roman" w:hAnsi="Times New Roman" w:cs="Times New Roman"/>
          <w:color w:val="000000"/>
          <w:sz w:val="26"/>
          <w:szCs w:val="26"/>
          <w:lang w:eastAsia="uk-UA"/>
        </w:rPr>
        <w:t>Один із принципів організації атестації – здійснення комплексної оцінки діяльності педагогічного працівника, яка передбачає забезпечення всебічного розгляду матеріалів з досвіду роботи, вивчення необхідної документації, порівняльний аналіз результатів діяльності впродовж усього періоду від попередньої атестації. Необхідною умовою об’єктивної атестації є всебічний аналіз освітнього процесу у закладі, вивчення думки батьків, учнів та колег вчителя, який атестується тощо.</w:t>
      </w:r>
    </w:p>
    <w:p w:rsidR="00910CE6" w:rsidRPr="00910CE6" w:rsidRDefault="00910CE6" w:rsidP="00910CE6">
      <w:pPr>
        <w:shd w:val="clear" w:color="auto" w:fill="FFFFFF"/>
        <w:spacing w:after="0" w:line="240" w:lineRule="auto"/>
        <w:jc w:val="both"/>
        <w:rPr>
          <w:rFonts w:ascii="Times New Roman" w:eastAsia="Times New Roman" w:hAnsi="Times New Roman" w:cs="Times New Roman"/>
          <w:sz w:val="24"/>
          <w:szCs w:val="24"/>
          <w:lang w:eastAsia="uk-UA"/>
        </w:rPr>
      </w:pPr>
      <w:r w:rsidRPr="00910CE6">
        <w:rPr>
          <w:rFonts w:ascii="Times New Roman" w:eastAsia="Times New Roman" w:hAnsi="Times New Roman" w:cs="Times New Roman"/>
          <w:color w:val="000000"/>
          <w:sz w:val="26"/>
          <w:szCs w:val="26"/>
          <w:lang w:eastAsia="uk-UA"/>
        </w:rPr>
        <w:t>Визначення рівня результативності діяльності педагога, оцінювання за якими може стати підставою для визначення його кваліфікаційного рівня наведено в таблиці «Критерії оцінювання роботи вчителя»:</w:t>
      </w:r>
    </w:p>
    <w:p w:rsidR="00910CE6" w:rsidRPr="00910CE6" w:rsidRDefault="00910CE6" w:rsidP="00910CE6">
      <w:pPr>
        <w:shd w:val="clear" w:color="auto" w:fill="FFFFFF"/>
        <w:spacing w:after="0" w:line="240" w:lineRule="auto"/>
        <w:jc w:val="both"/>
        <w:rPr>
          <w:rFonts w:ascii="Times New Roman" w:eastAsia="Times New Roman" w:hAnsi="Times New Roman" w:cs="Times New Roman"/>
          <w:sz w:val="24"/>
          <w:szCs w:val="24"/>
          <w:lang w:eastAsia="uk-UA"/>
        </w:rPr>
      </w:pPr>
    </w:p>
    <w:p w:rsidR="00910CE6" w:rsidRPr="00910CE6" w:rsidRDefault="00910CE6" w:rsidP="00910CE6">
      <w:pPr>
        <w:shd w:val="clear" w:color="auto" w:fill="FFFFFF"/>
        <w:spacing w:after="360" w:line="240" w:lineRule="auto"/>
        <w:jc w:val="both"/>
        <w:rPr>
          <w:rFonts w:ascii="Times New Roman" w:eastAsia="Times New Roman" w:hAnsi="Times New Roman" w:cs="Times New Roman"/>
          <w:sz w:val="24"/>
          <w:szCs w:val="24"/>
          <w:lang w:eastAsia="uk-UA"/>
        </w:rPr>
      </w:pPr>
      <w:r w:rsidRPr="00910CE6">
        <w:rPr>
          <w:rFonts w:ascii="Bookman Old Style" w:eastAsia="Times New Roman" w:hAnsi="Bookman Old Style" w:cs="Times New Roman"/>
          <w:b/>
          <w:bCs/>
          <w:color w:val="000000"/>
          <w:sz w:val="32"/>
          <w:szCs w:val="32"/>
          <w:lang w:eastAsia="uk-UA"/>
        </w:rPr>
        <w:t>Критерії оцінювання роботи вчителя</w:t>
      </w:r>
    </w:p>
    <w:tbl>
      <w:tblPr>
        <w:tblW w:w="0" w:type="auto"/>
        <w:tblCellMar>
          <w:top w:w="15" w:type="dxa"/>
          <w:left w:w="15" w:type="dxa"/>
          <w:bottom w:w="15" w:type="dxa"/>
          <w:right w:w="15" w:type="dxa"/>
        </w:tblCellMar>
        <w:tblLook w:val="04A0" w:firstRow="1" w:lastRow="0" w:firstColumn="1" w:lastColumn="0" w:noHBand="0" w:noVBand="1"/>
      </w:tblPr>
      <w:tblGrid>
        <w:gridCol w:w="2016"/>
        <w:gridCol w:w="2463"/>
        <w:gridCol w:w="2543"/>
        <w:gridCol w:w="2617"/>
      </w:tblGrid>
      <w:tr w:rsidR="00910CE6" w:rsidRPr="00910CE6" w:rsidTr="00A34ED6">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Критерії</w:t>
            </w:r>
          </w:p>
        </w:tc>
        <w:tc>
          <w:tcPr>
            <w:tcW w:w="0" w:type="auto"/>
            <w:gridSpan w:val="3"/>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Кваліфікаційні категорії</w:t>
            </w:r>
          </w:p>
        </w:tc>
      </w:tr>
      <w:tr w:rsidR="00910CE6" w:rsidRPr="00910CE6" w:rsidTr="00910CE6">
        <w:tc>
          <w:tcPr>
            <w:tcW w:w="0" w:type="auto"/>
            <w:tcMar>
              <w:top w:w="180" w:type="dxa"/>
              <w:left w:w="180" w:type="dxa"/>
              <w:bottom w:w="180" w:type="dxa"/>
              <w:right w:w="180" w:type="dxa"/>
            </w:tcMar>
            <w:hideMark/>
          </w:tcPr>
          <w:p w:rsidR="00910CE6" w:rsidRPr="00910CE6" w:rsidRDefault="00910CE6" w:rsidP="00910CE6">
            <w:pPr>
              <w:spacing w:after="0" w:line="240" w:lineRule="auto"/>
              <w:rPr>
                <w:rFonts w:ascii="Times New Roman" w:eastAsia="Times New Roman" w:hAnsi="Times New Roman" w:cs="Times New Roman"/>
                <w:sz w:val="24"/>
                <w:szCs w:val="24"/>
                <w:lang w:eastAsia="uk-UA"/>
              </w:rPr>
            </w:pPr>
          </w:p>
        </w:tc>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Спеціаліст другої категорії</w:t>
            </w:r>
          </w:p>
        </w:tc>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Спеціаліст першої категорії</w:t>
            </w:r>
          </w:p>
        </w:tc>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Спеціаліст вищої категорії</w:t>
            </w:r>
          </w:p>
        </w:tc>
      </w:tr>
      <w:tr w:rsidR="00910CE6" w:rsidRPr="00910CE6" w:rsidTr="00A34ED6">
        <w:tc>
          <w:tcPr>
            <w:tcW w:w="0" w:type="auto"/>
            <w:gridSpan w:val="4"/>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b/>
                <w:bCs/>
                <w:color w:val="000000"/>
                <w:sz w:val="24"/>
                <w:szCs w:val="24"/>
                <w:lang w:eastAsia="uk-UA"/>
              </w:rPr>
              <w:t>І. Професійний рівень діяльності вчителя</w:t>
            </w:r>
          </w:p>
        </w:tc>
      </w:tr>
      <w:tr w:rsidR="00910CE6" w:rsidRPr="00910CE6" w:rsidTr="00910CE6">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lastRenderedPageBreak/>
              <w:t>1.Знання теоретичних і практичних основ предмета</w:t>
            </w:r>
          </w:p>
        </w:tc>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Відповідає загальним вимогам, що висуваються до вчителя. Має глибокі знання зі свого предмета</w:t>
            </w:r>
          </w:p>
        </w:tc>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Відповідає вимогам, що висуваються до вчителя першої кваліфікаційної категорії. Має глибокі та різнобічні знання зі свого предмета й суміжних дисциплін</w:t>
            </w:r>
          </w:p>
        </w:tc>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Відповідає вимогам, що висуваються до вчителя вищої кваліфікаційної категорії. Має глибокі знання зі свого предмета і суміжних дисциплін, які значно перевищують обсяг програми</w:t>
            </w:r>
          </w:p>
        </w:tc>
      </w:tr>
      <w:tr w:rsidR="00910CE6" w:rsidRPr="00910CE6" w:rsidTr="00A34ED6">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2. Знання сучасних досягнень у методиці:</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 xml:space="preserve">Слідкує за спеціальною і методичною літературою; працює за готовими методиками й програмами </w:t>
            </w:r>
            <w:proofErr w:type="spellStart"/>
            <w:r w:rsidRPr="00910CE6">
              <w:rPr>
                <w:rFonts w:ascii="inherit" w:eastAsia="Times New Roman" w:hAnsi="inherit" w:cs="Times New Roman"/>
                <w:color w:val="000000"/>
                <w:sz w:val="24"/>
                <w:szCs w:val="24"/>
                <w:lang w:eastAsia="uk-UA"/>
              </w:rPr>
              <w:t>нав-чання</w:t>
            </w:r>
            <w:proofErr w:type="spellEnd"/>
            <w:r w:rsidRPr="00910CE6">
              <w:rPr>
                <w:rFonts w:ascii="inherit" w:eastAsia="Times New Roman" w:hAnsi="inherit" w:cs="Times New Roman"/>
                <w:color w:val="000000"/>
                <w:sz w:val="24"/>
                <w:szCs w:val="24"/>
                <w:lang w:eastAsia="uk-UA"/>
              </w:rPr>
              <w:t>; використовує прогресивні ідеї минулого і сучасності; уміє самостійно розробляти методику викладання</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Володіє методиками аналізу навчально-методичної роботи з предмета; варіює готові, розроблені іншими методики й програми; використовує програми й методики, спрямовані на розвиток особистості, інтелекту, вносить у них (у разі потреби) корективи</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Володіє методами науково-дослідницької, експериментальної роботи, використовує в роботі власні оригінальні програми й методики</w:t>
            </w:r>
          </w:p>
        </w:tc>
      </w:tr>
      <w:tr w:rsidR="00910CE6" w:rsidRPr="00910CE6" w:rsidTr="00910CE6">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3. Уміння аналізувати свою діяльність</w:t>
            </w:r>
          </w:p>
        </w:tc>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Бачить свої недоліки, прогалини і прорахунки в роботі, але при цьому не завжди здатний встановити причини їхньої появи. Здатний домагатися змін на краще на основі самоаналізу, однак покращення мають нерегулярний характер і поширюються лише на окремі ділянки роботи</w:t>
            </w:r>
          </w:p>
        </w:tc>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Виправляє допущені помилки і посилює позитивні моменти у своїй роботі, знаходить ефективні рішення. Усвідомлює необхідність систематичної роботи над собою і активно включається в ті види діяльності, які сприяють формуванню потрібних якостей</w:t>
            </w:r>
          </w:p>
        </w:tc>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Прагне і вміє бачити свою діяльність збоку, об’єктивно й неупереджено оцінює та аналізує її, виділяючи сильні і слабкі сторони. Свідомо намічає програму самовдосконалення, її мету, завдання, шляхи реалізації</w:t>
            </w:r>
          </w:p>
        </w:tc>
      </w:tr>
      <w:tr w:rsidR="00910CE6" w:rsidRPr="00910CE6" w:rsidTr="00A34ED6">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lastRenderedPageBreak/>
              <w:t>4. Знання нових педагогічних концепцій</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 xml:space="preserve">Знає сучасні технології навчання й виховання; володіє набором варіативних </w:t>
            </w:r>
            <w:proofErr w:type="spellStart"/>
            <w:r w:rsidRPr="00910CE6">
              <w:rPr>
                <w:rFonts w:ascii="inherit" w:eastAsia="Times New Roman" w:hAnsi="inherit" w:cs="Times New Roman"/>
                <w:color w:val="000000"/>
                <w:sz w:val="24"/>
                <w:szCs w:val="24"/>
                <w:lang w:eastAsia="uk-UA"/>
              </w:rPr>
              <w:t>методик</w:t>
            </w:r>
            <w:proofErr w:type="spellEnd"/>
            <w:r w:rsidRPr="00910CE6">
              <w:rPr>
                <w:rFonts w:ascii="inherit" w:eastAsia="Times New Roman" w:hAnsi="inherit" w:cs="Times New Roman"/>
                <w:color w:val="000000"/>
                <w:sz w:val="24"/>
                <w:szCs w:val="24"/>
                <w:lang w:eastAsia="uk-UA"/>
              </w:rPr>
              <w:t xml:space="preserve"> і педагогічних технологій; здійснює їх вибір і застосовує відповідно до інших умов</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 xml:space="preserve">Уміє демонструвати на практиці високий рівень володіння методиками; володіє однією із сучасних технологій розвиваючого навчання; творчо користується технологіями й </w:t>
            </w:r>
            <w:proofErr w:type="spellStart"/>
            <w:r w:rsidRPr="00910CE6">
              <w:rPr>
                <w:rFonts w:ascii="inherit" w:eastAsia="Times New Roman" w:hAnsi="inherit" w:cs="Times New Roman"/>
                <w:color w:val="000000"/>
                <w:sz w:val="24"/>
                <w:szCs w:val="24"/>
                <w:lang w:eastAsia="uk-UA"/>
              </w:rPr>
              <w:t>программами</w:t>
            </w:r>
            <w:proofErr w:type="spellEnd"/>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Розробляє нові педагогічні технології навчання й виховання, веде роботу з їх апробації, бере участь у дослідницькій, експериментальній діяльності</w:t>
            </w:r>
          </w:p>
        </w:tc>
      </w:tr>
      <w:tr w:rsidR="00910CE6" w:rsidRPr="00910CE6" w:rsidTr="00910CE6">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5. Знання теорії педагогіки й вікової психології учня</w:t>
            </w:r>
          </w:p>
        </w:tc>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 xml:space="preserve">Орієнтується в сучасних психолого-педагогічних концепціях навчання, але </w:t>
            </w:r>
            <w:proofErr w:type="spellStart"/>
            <w:r w:rsidRPr="00910CE6">
              <w:rPr>
                <w:rFonts w:ascii="inherit" w:eastAsia="Times New Roman" w:hAnsi="inherit" w:cs="Times New Roman"/>
                <w:color w:val="000000"/>
                <w:sz w:val="24"/>
                <w:szCs w:val="24"/>
                <w:lang w:eastAsia="uk-UA"/>
              </w:rPr>
              <w:t>рідко</w:t>
            </w:r>
            <w:proofErr w:type="spellEnd"/>
            <w:r w:rsidRPr="00910CE6">
              <w:rPr>
                <w:rFonts w:ascii="inherit" w:eastAsia="Times New Roman" w:hAnsi="inherit" w:cs="Times New Roman"/>
                <w:color w:val="000000"/>
                <w:sz w:val="24"/>
                <w:szCs w:val="24"/>
                <w:lang w:eastAsia="uk-UA"/>
              </w:rPr>
              <w:t xml:space="preserve"> застосовує їх у своїй практичній діяльності. Здатний приймати рішення в типових ситуаціях</w:t>
            </w:r>
          </w:p>
        </w:tc>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Вільно орієнтується в сучасних психолого-педагогічних концепціях навчання й виховання, використовує їх як основу у своїй практичній діяльності. Здатний швидко й підсвідомо обрати оптимальне рішення</w:t>
            </w:r>
          </w:p>
        </w:tc>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Користується різними формами психолого-педагогічної діагностики й науково-обґрунтованого прогнозування. Здатний передбачити розвиток подій і прийняти рішення в нестандартних ситуаціях</w:t>
            </w:r>
          </w:p>
        </w:tc>
      </w:tr>
      <w:tr w:rsidR="00910CE6" w:rsidRPr="00910CE6" w:rsidTr="00A34ED6">
        <w:tc>
          <w:tcPr>
            <w:tcW w:w="0" w:type="auto"/>
            <w:gridSpan w:val="4"/>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b/>
                <w:bCs/>
                <w:color w:val="000000"/>
                <w:sz w:val="24"/>
                <w:szCs w:val="24"/>
                <w:lang w:eastAsia="uk-UA"/>
              </w:rPr>
              <w:t>ІІ. Результативність професійної діяльності вчителя.</w:t>
            </w:r>
          </w:p>
        </w:tc>
      </w:tr>
      <w:tr w:rsidR="00910CE6" w:rsidRPr="00910CE6" w:rsidTr="00910CE6">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1.Володіння способами індивідуалізації навчання</w:t>
            </w:r>
          </w:p>
        </w:tc>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Враховує у стосунках з учнями індивідуальні особливості їхнього розвитку: здійснює диференційований підхід з урахуванням темпів розвитку, нахилів та інтересів, стану здоров’я. Знає методи діагностики рівня інтелектуального й особистісного розвитку дітей</w:t>
            </w:r>
          </w:p>
        </w:tc>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Уміло користується елементами, засобами діагностики і корекції індивідуальних особливостей учнів під час реалізації диференційованого підходу. Створює умови для розвитку талантів, розумових і фізичних здібностей</w:t>
            </w:r>
          </w:p>
        </w:tc>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Сприяє пошуку, відбору і творчому розвитку обдарованих дітей. Уміє тримати в полі зору «сильних», «слабких» і «середніх» за рівнем знань учнів; працює за індивідуальними планами з обдарованими і слабкими дітьми</w:t>
            </w:r>
          </w:p>
        </w:tc>
      </w:tr>
      <w:tr w:rsidR="00910CE6" w:rsidRPr="00910CE6" w:rsidTr="00A34ED6">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lastRenderedPageBreak/>
              <w:t>2.Уміння активізувати пізнавальну діяльність учнів</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Створює умови, що формують мотив діяльності. Уміє захопити учнів своїм предметом, керувати колективною роботою, варіювати різноманітні методи й форми роботи. Стійкий інтерес до навчального предмета і висока пізнавальна активність учнів поєднується з не дуже ґрунтовними знаннями, з недостатньо сформованими навичками учіння</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 xml:space="preserve">Забезпечує успішне формування системи знань на основі само- управління процесом учіння. Уміє цікаво подати навчальний матеріал, активізувати учнів, збудивши в них інтерес до осо- </w:t>
            </w:r>
            <w:proofErr w:type="spellStart"/>
            <w:r w:rsidRPr="00910CE6">
              <w:rPr>
                <w:rFonts w:ascii="inherit" w:eastAsia="Times New Roman" w:hAnsi="inherit" w:cs="Times New Roman"/>
                <w:color w:val="000000"/>
                <w:sz w:val="24"/>
                <w:szCs w:val="24"/>
                <w:lang w:eastAsia="uk-UA"/>
              </w:rPr>
              <w:t>бистостей</w:t>
            </w:r>
            <w:proofErr w:type="spellEnd"/>
            <w:r w:rsidRPr="00910CE6">
              <w:rPr>
                <w:rFonts w:ascii="inherit" w:eastAsia="Times New Roman" w:hAnsi="inherit" w:cs="Times New Roman"/>
                <w:color w:val="000000"/>
                <w:sz w:val="24"/>
                <w:szCs w:val="24"/>
                <w:lang w:eastAsia="uk-UA"/>
              </w:rPr>
              <w:t xml:space="preserve"> самого предмета; уміло варіює форми і методи навчання. Міцні, ґрунтовні знання учнів поєднуються з ви- </w:t>
            </w:r>
            <w:proofErr w:type="spellStart"/>
            <w:r w:rsidRPr="00910CE6">
              <w:rPr>
                <w:rFonts w:ascii="inherit" w:eastAsia="Times New Roman" w:hAnsi="inherit" w:cs="Times New Roman"/>
                <w:color w:val="000000"/>
                <w:sz w:val="24"/>
                <w:szCs w:val="24"/>
                <w:lang w:eastAsia="uk-UA"/>
              </w:rPr>
              <w:t>сокою</w:t>
            </w:r>
            <w:proofErr w:type="spellEnd"/>
            <w:r w:rsidRPr="00910CE6">
              <w:rPr>
                <w:rFonts w:ascii="inherit" w:eastAsia="Times New Roman" w:hAnsi="inherit" w:cs="Times New Roman"/>
                <w:color w:val="000000"/>
                <w:sz w:val="24"/>
                <w:szCs w:val="24"/>
                <w:lang w:eastAsia="uk-UA"/>
              </w:rPr>
              <w:t xml:space="preserve"> пізнавальною активністю і сформованими навичками</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Забезпечує залучення кожного школяра до процесу активного учіння. Стимулює внутрішню (</w:t>
            </w:r>
            <w:proofErr w:type="spellStart"/>
            <w:r w:rsidRPr="00910CE6">
              <w:rPr>
                <w:rFonts w:ascii="inherit" w:eastAsia="Times New Roman" w:hAnsi="inherit" w:cs="Times New Roman"/>
                <w:color w:val="000000"/>
                <w:sz w:val="24"/>
                <w:szCs w:val="24"/>
                <w:lang w:eastAsia="uk-UA"/>
              </w:rPr>
              <w:t>мислительну</w:t>
            </w:r>
            <w:proofErr w:type="spellEnd"/>
            <w:r w:rsidRPr="00910CE6">
              <w:rPr>
                <w:rFonts w:ascii="inherit" w:eastAsia="Times New Roman" w:hAnsi="inherit" w:cs="Times New Roman"/>
                <w:color w:val="000000"/>
                <w:sz w:val="24"/>
                <w:szCs w:val="24"/>
                <w:lang w:eastAsia="uk-UA"/>
              </w:rPr>
              <w:t>) активність, пошукову діяльність. Уміє ясно й чітко викласти навчальний матеріал; уважний до рівня знань усіх учнів. Інтерес до навчального предмета в учнів поєднується з міцними знаннями і сформованими навичками</w:t>
            </w:r>
          </w:p>
        </w:tc>
      </w:tr>
      <w:tr w:rsidR="00910CE6" w:rsidRPr="00910CE6" w:rsidTr="00910CE6">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3. Робота з розвитку в учнів загально- навчальних вмінь і навичок</w:t>
            </w:r>
          </w:p>
        </w:tc>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Прагне до формування навичок раціональної організації праці</w:t>
            </w:r>
          </w:p>
        </w:tc>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 xml:space="preserve">Цілеспрямовано й </w:t>
            </w:r>
            <w:proofErr w:type="spellStart"/>
            <w:r w:rsidRPr="00910CE6">
              <w:rPr>
                <w:rFonts w:ascii="inherit" w:eastAsia="Times New Roman" w:hAnsi="inherit" w:cs="Times New Roman"/>
                <w:color w:val="000000"/>
                <w:sz w:val="24"/>
                <w:szCs w:val="24"/>
                <w:lang w:eastAsia="uk-UA"/>
              </w:rPr>
              <w:t>професійно</w:t>
            </w:r>
            <w:proofErr w:type="spellEnd"/>
            <w:r w:rsidRPr="00910CE6">
              <w:rPr>
                <w:rFonts w:ascii="inherit" w:eastAsia="Times New Roman" w:hAnsi="inherit" w:cs="Times New Roman"/>
                <w:color w:val="000000"/>
                <w:sz w:val="24"/>
                <w:szCs w:val="24"/>
                <w:lang w:eastAsia="uk-UA"/>
              </w:rPr>
              <w:t xml:space="preserve"> формує в учнів уміння й навички раціональної організації навчальної праці (самоконтроль у навчанні, раціональне планування навчальної праці, належний темп читання, письма, обчислень). Дотримується єдиних вимог щодо усного і писемного мовлення: оформлення письмових </w:t>
            </w:r>
            <w:proofErr w:type="spellStart"/>
            <w:r w:rsidRPr="00910CE6">
              <w:rPr>
                <w:rFonts w:ascii="inherit" w:eastAsia="Times New Roman" w:hAnsi="inherit" w:cs="Times New Roman"/>
                <w:color w:val="000000"/>
                <w:sz w:val="24"/>
                <w:szCs w:val="24"/>
                <w:lang w:eastAsia="uk-UA"/>
              </w:rPr>
              <w:t>робітучнів</w:t>
            </w:r>
            <w:proofErr w:type="spellEnd"/>
            <w:r w:rsidRPr="00910CE6">
              <w:rPr>
                <w:rFonts w:ascii="inherit" w:eastAsia="Times New Roman" w:hAnsi="inherit" w:cs="Times New Roman"/>
                <w:color w:val="000000"/>
                <w:sz w:val="24"/>
                <w:szCs w:val="24"/>
                <w:lang w:eastAsia="uk-UA"/>
              </w:rPr>
              <w:t xml:space="preserve"> у зошитах, щоденниках (грамотність, акуратність, каліграфія)</w:t>
            </w:r>
          </w:p>
        </w:tc>
        <w:tc>
          <w:tcPr>
            <w:tcW w:w="0" w:type="auto"/>
            <w:vAlign w:val="center"/>
            <w:hideMark/>
          </w:tcPr>
          <w:p w:rsidR="00910CE6" w:rsidRPr="00910CE6" w:rsidRDefault="00910CE6" w:rsidP="00910CE6">
            <w:pPr>
              <w:spacing w:after="0" w:line="240" w:lineRule="auto"/>
              <w:rPr>
                <w:rFonts w:ascii="Times New Roman" w:eastAsia="Times New Roman" w:hAnsi="Times New Roman" w:cs="Times New Roman"/>
                <w:sz w:val="24"/>
                <w:szCs w:val="24"/>
                <w:lang w:eastAsia="uk-UA"/>
              </w:rPr>
            </w:pPr>
          </w:p>
        </w:tc>
      </w:tr>
      <w:tr w:rsidR="00910CE6" w:rsidRPr="00910CE6" w:rsidTr="00A34ED6">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lastRenderedPageBreak/>
              <w:t>4.Рівень навченості учнів</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Забезпечує стійкий позитивний результат, ретельно вивчає критерії оцінювання, користується ними на практиці; об’єктивний в оцінюванні знань учнів</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Учні демонструють знання теоретичних і практичних основ предмета; показують хороші результати за наслідками зрізів, перевірних робіт, екзаменів</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Учні реалізують свої інтелектуальні можливості чи близькі до цього; добре сприймають, засвоюють і відтворюють пройдений навчальний матеріал, демонструють глибокі, міцні знання теорії й навички розв’язування практичних завдань, здатні включитися в самостійний пізнавальний пошук</w:t>
            </w:r>
          </w:p>
        </w:tc>
      </w:tr>
      <w:tr w:rsidR="00910CE6" w:rsidRPr="00910CE6" w:rsidTr="00A34ED6">
        <w:tc>
          <w:tcPr>
            <w:tcW w:w="0" w:type="auto"/>
            <w:gridSpan w:val="4"/>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b/>
                <w:bCs/>
                <w:color w:val="000000"/>
                <w:sz w:val="24"/>
                <w:szCs w:val="24"/>
                <w:lang w:eastAsia="uk-UA"/>
              </w:rPr>
              <w:t>ІІІ. Комунікативна культура</w:t>
            </w:r>
          </w:p>
        </w:tc>
      </w:tr>
      <w:tr w:rsidR="00910CE6" w:rsidRPr="00910CE6" w:rsidTr="00A34ED6">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1. Комунікативні й організаторські здібності</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Прагне до контактів з людьми. Не обмежує коло знайомих; відстоює власну думку; планує свою роботу, проте потенціал його нахилів не вирізняється високою стійкістю</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Швидко знаходить друзів, постійно прагне розширити коло своїх знайомих; допомагає близьким, друзям; проявляє ініціативу в спілкуванні; із задоволенням бере участь в організації громадських заходів; здатний прийняти самостійне рішення в складній ситуації. Усе виконує за внутрішнім переконанням, а не з примусу. Наполегливий у діяльності, яка його приваблює</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Відчуває потребу в комунікативній і організаторській діяльності; швидко орієнтується в складних ситуаціях; невимушено почувається в новому колективі; ініціативний, у важких випадках віддає перевагу самостійним рішенням; відстоює власну думку й домагається її прийняття. Шукає такі справи, які б задовольнили його потребу в комунікації та організаторській діяльності</w:t>
            </w:r>
          </w:p>
        </w:tc>
      </w:tr>
      <w:tr w:rsidR="00910CE6" w:rsidRPr="00910CE6" w:rsidTr="00910CE6">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2. Здатність до співпраці з учнями</w:t>
            </w:r>
          </w:p>
        </w:tc>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 xml:space="preserve">Володіє відомими в педагогіці прийомами переконливого впливу, але </w:t>
            </w:r>
            <w:r w:rsidRPr="00910CE6">
              <w:rPr>
                <w:rFonts w:ascii="inherit" w:eastAsia="Times New Roman" w:hAnsi="inherit" w:cs="Times New Roman"/>
                <w:color w:val="000000"/>
                <w:sz w:val="24"/>
                <w:szCs w:val="24"/>
                <w:lang w:eastAsia="uk-UA"/>
              </w:rPr>
              <w:lastRenderedPageBreak/>
              <w:t>використовує їх без аналізу ситуації</w:t>
            </w:r>
          </w:p>
        </w:tc>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lastRenderedPageBreak/>
              <w:t xml:space="preserve">Обговорює й аналізує ситуації разом з учнями і залишає за ними право приймати </w:t>
            </w:r>
            <w:r w:rsidRPr="00910CE6">
              <w:rPr>
                <w:rFonts w:ascii="inherit" w:eastAsia="Times New Roman" w:hAnsi="inherit" w:cs="Times New Roman"/>
                <w:color w:val="000000"/>
                <w:sz w:val="24"/>
                <w:szCs w:val="24"/>
                <w:lang w:eastAsia="uk-UA"/>
              </w:rPr>
              <w:lastRenderedPageBreak/>
              <w:t>власні рішення. Уміє сформувати громадську позицію учня, його реальну соціальну поведінку й вчинки, світогляд і ставлення до учня, а також готовність до подальших виховних впливів учителя</w:t>
            </w:r>
          </w:p>
        </w:tc>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lastRenderedPageBreak/>
              <w:t xml:space="preserve">Веде постійний пошук нових прийомів переконливого впливу й передбачає </w:t>
            </w:r>
            <w:r w:rsidRPr="00910CE6">
              <w:rPr>
                <w:rFonts w:ascii="inherit" w:eastAsia="Times New Roman" w:hAnsi="inherit" w:cs="Times New Roman"/>
                <w:color w:val="000000"/>
                <w:sz w:val="24"/>
                <w:szCs w:val="24"/>
                <w:lang w:eastAsia="uk-UA"/>
              </w:rPr>
              <w:lastRenderedPageBreak/>
              <w:t>їх можливе використання в спілкуванні. Виховує вміння толерантно ставитися До чужих поглядів. Уміє обґрунтовано користуватися поєднанням методів навчання й виховання, що дає змогу досягти хороших результатів при оптимальному докладанні розумових, вольових та емоційних зусиль учителя й учнів</w:t>
            </w:r>
          </w:p>
        </w:tc>
      </w:tr>
      <w:tr w:rsidR="00910CE6" w:rsidRPr="00910CE6" w:rsidTr="00A34ED6">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lastRenderedPageBreak/>
              <w:t>3. Готовність до співпраці з колегами</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Володіє адаптивним стилем поведінки, педагогічного спілкування; намагається створити навколо себе доброзичливу обстановку співпраці з колегами</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Намагається вибрати стосовно кожного з колег такий спосіб поведінки, де найкраще поєднується індивідуальний підхід з утвердженням колективістських принципів Моралі</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Неухильно дотримується професійної етики спілкування; у будь-якій ситуації координує свої дії з колегами</w:t>
            </w:r>
          </w:p>
        </w:tc>
      </w:tr>
      <w:tr w:rsidR="00910CE6" w:rsidRPr="00910CE6" w:rsidTr="00A34ED6">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4. Готовність до співпраці з батьками</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Визначає педагогічні завдання з урахуванням особливостей дітей і потреб сім’ї, систематично співпрацює з батьками</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Залучає батьків до діяльності; спрямованої на створення умов, сприятливих для розвитку їхніх дітей; формує в батьків позитивне ставлення до оволодіння знаннями педагогіки й психології</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Налагоджує контакт із сім’єю не тільки тоді, коли потрібна допомога батьків, а постійно, домагаючись відвертості, взаєморозуміння, чуйності</w:t>
            </w:r>
          </w:p>
        </w:tc>
      </w:tr>
      <w:tr w:rsidR="00910CE6" w:rsidRPr="00910CE6" w:rsidTr="00A34ED6">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5. Педагогічний такт</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 xml:space="preserve">Володіє педагогічним тактом, а деякі його порушення не позначаються </w:t>
            </w:r>
            <w:r w:rsidRPr="00910CE6">
              <w:rPr>
                <w:rFonts w:ascii="inherit" w:eastAsia="Times New Roman" w:hAnsi="inherit" w:cs="Times New Roman"/>
                <w:color w:val="000000"/>
                <w:sz w:val="24"/>
                <w:szCs w:val="24"/>
                <w:lang w:eastAsia="uk-UA"/>
              </w:rPr>
              <w:lastRenderedPageBreak/>
              <w:t>негативно на стосунках з учнями.</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lastRenderedPageBreak/>
              <w:t>Стосунки з дітьми будує на довірі, повазі, вимогливості, справедливості</w:t>
            </w:r>
          </w:p>
        </w:tc>
        <w:tc>
          <w:tcPr>
            <w:tcW w:w="0" w:type="auto"/>
            <w:shd w:val="clear" w:color="auto" w:fill="auto"/>
            <w:vAlign w:val="center"/>
            <w:hideMark/>
          </w:tcPr>
          <w:p w:rsidR="00910CE6" w:rsidRPr="00910CE6" w:rsidRDefault="00910CE6" w:rsidP="00910CE6">
            <w:pPr>
              <w:spacing w:after="0" w:line="240" w:lineRule="auto"/>
              <w:rPr>
                <w:rFonts w:ascii="Times New Roman" w:eastAsia="Times New Roman" w:hAnsi="Times New Roman" w:cs="Times New Roman"/>
                <w:sz w:val="24"/>
                <w:szCs w:val="24"/>
                <w:lang w:eastAsia="uk-UA"/>
              </w:rPr>
            </w:pPr>
          </w:p>
        </w:tc>
      </w:tr>
      <w:tr w:rsidR="00910CE6" w:rsidRPr="00910CE6" w:rsidTr="00910CE6">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6. Педагогічна культура</w:t>
            </w:r>
          </w:p>
        </w:tc>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Знає елементарні вимоги до мови, специфіку інтонацій у мовленні, темпу мовлення дотримується не завжди</w:t>
            </w:r>
          </w:p>
        </w:tc>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 xml:space="preserve">Уміє чітко й </w:t>
            </w:r>
            <w:proofErr w:type="spellStart"/>
            <w:r w:rsidRPr="00910CE6">
              <w:rPr>
                <w:rFonts w:ascii="inherit" w:eastAsia="Times New Roman" w:hAnsi="inherit" w:cs="Times New Roman"/>
                <w:color w:val="000000"/>
                <w:sz w:val="24"/>
                <w:szCs w:val="24"/>
                <w:lang w:eastAsia="uk-UA"/>
              </w:rPr>
              <w:t>логічно</w:t>
            </w:r>
            <w:proofErr w:type="spellEnd"/>
            <w:r w:rsidRPr="00910CE6">
              <w:rPr>
                <w:rFonts w:ascii="inherit" w:eastAsia="Times New Roman" w:hAnsi="inherit" w:cs="Times New Roman"/>
                <w:color w:val="000000"/>
                <w:sz w:val="24"/>
                <w:szCs w:val="24"/>
                <w:lang w:eastAsia="uk-UA"/>
              </w:rPr>
              <w:t xml:space="preserve"> висловлювати думки в усній, письмовій та графічній формі. Має багатий словниковий запас, добру дикцію, правильну інтонацію</w:t>
            </w:r>
          </w:p>
        </w:tc>
        <w:tc>
          <w:tcPr>
            <w:tcW w:w="0" w:type="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Досконало володіє своєю мовою, словом, професійною термінологією</w:t>
            </w:r>
          </w:p>
        </w:tc>
      </w:tr>
      <w:tr w:rsidR="00910CE6" w:rsidRPr="00910CE6" w:rsidTr="00A34ED6">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7. Створення комфортного мікроклімату</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Глибоко вірить у великі можливості кожного учня. Створює сприятливий морально-психологічний клімат для кожної дитини</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Наполегливо формує моральні уявлення, поняття учнів, виховує почуття гуманності, співчуття, жалю, чуйності. Створює умови для розвитку талантів, розумових і фізичних здібностей, загальної культури особистості</w:t>
            </w:r>
          </w:p>
        </w:tc>
        <w:tc>
          <w:tcPr>
            <w:tcW w:w="0" w:type="auto"/>
            <w:shd w:val="clear" w:color="auto" w:fill="auto"/>
            <w:tcMar>
              <w:top w:w="180" w:type="dxa"/>
              <w:left w:w="180" w:type="dxa"/>
              <w:bottom w:w="180" w:type="dxa"/>
              <w:right w:w="180" w:type="dxa"/>
            </w:tcMar>
            <w:hideMark/>
          </w:tcPr>
          <w:p w:rsidR="00910CE6" w:rsidRPr="00910CE6" w:rsidRDefault="00910CE6" w:rsidP="00910CE6">
            <w:pPr>
              <w:spacing w:after="360" w:line="240" w:lineRule="auto"/>
              <w:rPr>
                <w:rFonts w:ascii="Times New Roman" w:eastAsia="Times New Roman" w:hAnsi="Times New Roman" w:cs="Times New Roman"/>
                <w:sz w:val="24"/>
                <w:szCs w:val="24"/>
                <w:lang w:eastAsia="uk-UA"/>
              </w:rPr>
            </w:pPr>
            <w:r w:rsidRPr="00910CE6">
              <w:rPr>
                <w:rFonts w:ascii="inherit" w:eastAsia="Times New Roman" w:hAnsi="inherit" w:cs="Times New Roman"/>
                <w:color w:val="000000"/>
                <w:sz w:val="24"/>
                <w:szCs w:val="24"/>
                <w:lang w:eastAsia="uk-UA"/>
              </w:rPr>
              <w:t>Сприяє пошуку, відбору і творчому розвиткові обдарованих дітей</w:t>
            </w:r>
          </w:p>
        </w:tc>
      </w:tr>
    </w:tbl>
    <w:p w:rsidR="00910CE6" w:rsidRPr="00910CE6" w:rsidRDefault="00910CE6" w:rsidP="00910CE6">
      <w:pPr>
        <w:shd w:val="clear" w:color="auto" w:fill="FFFFFF"/>
        <w:spacing w:after="0" w:line="240" w:lineRule="auto"/>
        <w:jc w:val="both"/>
        <w:rPr>
          <w:rFonts w:ascii="Times New Roman" w:eastAsia="Times New Roman" w:hAnsi="Times New Roman" w:cs="Times New Roman"/>
          <w:sz w:val="24"/>
          <w:szCs w:val="24"/>
          <w:lang w:eastAsia="uk-UA"/>
        </w:rPr>
      </w:pPr>
      <w:r w:rsidRPr="00910CE6">
        <w:rPr>
          <w:rFonts w:ascii="Times New Roman" w:eastAsia="Times New Roman" w:hAnsi="Times New Roman" w:cs="Times New Roman"/>
          <w:b/>
          <w:bCs/>
          <w:color w:val="000000"/>
          <w:sz w:val="26"/>
          <w:szCs w:val="26"/>
          <w:lang w:eastAsia="uk-UA"/>
        </w:rPr>
        <w:t>Сертифікація педагогічних працівників</w:t>
      </w:r>
      <w:r w:rsidRPr="00910CE6">
        <w:rPr>
          <w:rFonts w:ascii="Times New Roman" w:eastAsia="Times New Roman" w:hAnsi="Times New Roman" w:cs="Times New Roman"/>
          <w:color w:val="000000"/>
          <w:sz w:val="26"/>
          <w:szCs w:val="26"/>
          <w:lang w:eastAsia="uk-UA"/>
        </w:rPr>
        <w:t xml:space="preserve"> – це зовнішнє оцінювання професійних </w:t>
      </w:r>
      <w:proofErr w:type="spellStart"/>
      <w:r w:rsidRPr="00910CE6">
        <w:rPr>
          <w:rFonts w:ascii="Times New Roman" w:eastAsia="Times New Roman" w:hAnsi="Times New Roman" w:cs="Times New Roman"/>
          <w:color w:val="000000"/>
          <w:sz w:val="26"/>
          <w:szCs w:val="26"/>
          <w:lang w:eastAsia="uk-UA"/>
        </w:rPr>
        <w:t>компетентностей</w:t>
      </w:r>
      <w:proofErr w:type="spellEnd"/>
      <w:r w:rsidRPr="00910CE6">
        <w:rPr>
          <w:rFonts w:ascii="Times New Roman" w:eastAsia="Times New Roman" w:hAnsi="Times New Roman" w:cs="Times New Roman"/>
          <w:color w:val="000000"/>
          <w:sz w:val="26"/>
          <w:szCs w:val="26"/>
          <w:lang w:eastAsia="uk-UA"/>
        </w:rPr>
        <w:t xml:space="preserve"> педагогічного працівника (у тому числі з педагогіки та психології, практичних вмінь застосування сучасних методів і технологій навчання), що здійснюється шляхом незалежного тестування, </w:t>
      </w:r>
      <w:proofErr w:type="spellStart"/>
      <w:r w:rsidRPr="00910CE6">
        <w:rPr>
          <w:rFonts w:ascii="Times New Roman" w:eastAsia="Times New Roman" w:hAnsi="Times New Roman" w:cs="Times New Roman"/>
          <w:color w:val="000000"/>
          <w:sz w:val="26"/>
          <w:szCs w:val="26"/>
          <w:lang w:eastAsia="uk-UA"/>
        </w:rPr>
        <w:t>самооцінювання</w:t>
      </w:r>
      <w:proofErr w:type="spellEnd"/>
      <w:r w:rsidRPr="00910CE6">
        <w:rPr>
          <w:rFonts w:ascii="Times New Roman" w:eastAsia="Times New Roman" w:hAnsi="Times New Roman" w:cs="Times New Roman"/>
          <w:color w:val="000000"/>
          <w:sz w:val="26"/>
          <w:szCs w:val="26"/>
          <w:lang w:eastAsia="uk-UA"/>
        </w:rPr>
        <w:t xml:space="preserve"> та вивчення практичного досвіду роботи.</w:t>
      </w:r>
    </w:p>
    <w:p w:rsidR="00910CE6" w:rsidRPr="00910CE6" w:rsidRDefault="00910CE6" w:rsidP="00910CE6">
      <w:pPr>
        <w:shd w:val="clear" w:color="auto" w:fill="FFFFFF"/>
        <w:spacing w:after="360" w:line="240" w:lineRule="auto"/>
        <w:jc w:val="both"/>
        <w:rPr>
          <w:rFonts w:ascii="Times New Roman" w:eastAsia="Times New Roman" w:hAnsi="Times New Roman" w:cs="Times New Roman"/>
          <w:sz w:val="24"/>
          <w:szCs w:val="24"/>
          <w:lang w:eastAsia="uk-UA"/>
        </w:rPr>
      </w:pPr>
      <w:r w:rsidRPr="00910CE6">
        <w:rPr>
          <w:rFonts w:ascii="Times New Roman" w:eastAsia="Times New Roman" w:hAnsi="Times New Roman" w:cs="Times New Roman"/>
          <w:color w:val="000000"/>
          <w:sz w:val="26"/>
          <w:szCs w:val="26"/>
          <w:lang w:eastAsia="uk-UA"/>
        </w:rPr>
        <w:t>Сертифікація педагогічного працівника відбувається на добровільних засадах виключно за його ініціативою.</w:t>
      </w:r>
    </w:p>
    <w:p w:rsidR="00475998" w:rsidRDefault="00475998">
      <w:bookmarkStart w:id="0" w:name="_GoBack"/>
      <w:bookmarkEnd w:id="0"/>
    </w:p>
    <w:sectPr w:rsidR="0047599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CE6"/>
    <w:rsid w:val="00475998"/>
    <w:rsid w:val="00910CE6"/>
    <w:rsid w:val="00A34E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4F01BC-E480-4ECC-8551-A085FF27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211674">
      <w:bodyDiv w:val="1"/>
      <w:marLeft w:val="0"/>
      <w:marRight w:val="0"/>
      <w:marTop w:val="0"/>
      <w:marBottom w:val="0"/>
      <w:divBdr>
        <w:top w:val="none" w:sz="0" w:space="0" w:color="auto"/>
        <w:left w:val="none" w:sz="0" w:space="0" w:color="auto"/>
        <w:bottom w:val="none" w:sz="0" w:space="0" w:color="auto"/>
        <w:right w:val="none" w:sz="0" w:space="0" w:color="auto"/>
      </w:divBdr>
      <w:divsChild>
        <w:div w:id="568999467">
          <w:marLeft w:val="-42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28333-D196-4D86-B2E1-A1D6797CE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7905</Words>
  <Characters>4506</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1</cp:revision>
  <dcterms:created xsi:type="dcterms:W3CDTF">2023-05-15T09:53:00Z</dcterms:created>
  <dcterms:modified xsi:type="dcterms:W3CDTF">2023-05-15T10:39:00Z</dcterms:modified>
</cp:coreProperties>
</file>